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03DC7" w14:textId="5797EA5B" w:rsidR="00AC213D" w:rsidRPr="00AC213D" w:rsidRDefault="00564E59" w:rsidP="00AC213D">
      <w:pPr>
        <w:pStyle w:val="Paragraphedeliste"/>
        <w:spacing w:after="0"/>
        <w:jc w:val="center"/>
        <w:rPr>
          <w:rFonts w:ascii="Bell MT" w:hAnsi="Bell MT"/>
          <w:sz w:val="56"/>
          <w:szCs w:val="56"/>
        </w:rPr>
      </w:pPr>
      <w:r>
        <w:rPr>
          <w:rFonts w:ascii="Bell MT" w:hAnsi="Bell MT"/>
          <w:noProof/>
          <w:sz w:val="56"/>
          <w:szCs w:val="56"/>
          <w:lang w:eastAsia="fr-FR"/>
        </w:rPr>
        <w:drawing>
          <wp:anchor distT="0" distB="0" distL="114300" distR="114300" simplePos="0" relativeHeight="251660288" behindDoc="0" locked="0" layoutInCell="1" allowOverlap="1" wp14:anchorId="4858CF34" wp14:editId="7A067A36">
            <wp:simplePos x="0" y="0"/>
            <wp:positionH relativeFrom="column">
              <wp:posOffset>-690245</wp:posOffset>
            </wp:positionH>
            <wp:positionV relativeFrom="paragraph">
              <wp:posOffset>-470535</wp:posOffset>
            </wp:positionV>
            <wp:extent cx="7106285" cy="15138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ete papier SIST Ouest Normand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6285" cy="1513840"/>
                    </a:xfrm>
                    <a:prstGeom prst="rect">
                      <a:avLst/>
                    </a:prstGeom>
                  </pic:spPr>
                </pic:pic>
              </a:graphicData>
            </a:graphic>
            <wp14:sizeRelH relativeFrom="page">
              <wp14:pctWidth>0</wp14:pctWidth>
            </wp14:sizeRelH>
            <wp14:sizeRelV relativeFrom="page">
              <wp14:pctHeight>0</wp14:pctHeight>
            </wp14:sizeRelV>
          </wp:anchor>
        </w:drawing>
      </w:r>
    </w:p>
    <w:p w14:paraId="271698E9" w14:textId="77777777" w:rsidR="008D146C" w:rsidRDefault="008D146C" w:rsidP="008D146C">
      <w:pPr>
        <w:pStyle w:val="Paragraphedeliste"/>
        <w:spacing w:after="0"/>
        <w:rPr>
          <w:rFonts w:ascii="Bell MT" w:hAnsi="Bell MT"/>
          <w:sz w:val="36"/>
          <w:szCs w:val="32"/>
        </w:rPr>
      </w:pPr>
    </w:p>
    <w:p w14:paraId="0362CFEC" w14:textId="77777777" w:rsidR="00564E59" w:rsidRDefault="00564E59" w:rsidP="008D146C">
      <w:pPr>
        <w:pStyle w:val="Paragraphedeliste"/>
        <w:spacing w:after="0"/>
        <w:rPr>
          <w:rFonts w:ascii="Bell MT" w:hAnsi="Bell MT"/>
          <w:sz w:val="36"/>
          <w:szCs w:val="32"/>
        </w:rPr>
      </w:pPr>
    </w:p>
    <w:p w14:paraId="28F4FA8A" w14:textId="77777777" w:rsidR="008D146C" w:rsidRPr="008D146C" w:rsidRDefault="008D146C" w:rsidP="008D146C">
      <w:pPr>
        <w:pStyle w:val="Paragraphedeliste"/>
        <w:spacing w:after="0"/>
        <w:jc w:val="center"/>
        <w:rPr>
          <w:b/>
          <w:bCs/>
          <w:color w:val="000000" w:themeColor="text1"/>
          <w:sz w:val="40"/>
          <w:szCs w:val="36"/>
        </w:rPr>
      </w:pPr>
      <w:r w:rsidRPr="008D146C">
        <w:rPr>
          <w:b/>
          <w:bCs/>
          <w:color w:val="000000" w:themeColor="text1"/>
          <w:sz w:val="40"/>
          <w:szCs w:val="36"/>
        </w:rPr>
        <w:t>PROTOCOLE EXPERIMENTAL</w:t>
      </w:r>
    </w:p>
    <w:p w14:paraId="593C3614" w14:textId="77777777" w:rsidR="008D146C" w:rsidRPr="008D146C" w:rsidRDefault="008D146C" w:rsidP="008D146C">
      <w:pPr>
        <w:pStyle w:val="Paragraphedeliste"/>
        <w:spacing w:after="0"/>
        <w:jc w:val="center"/>
        <w:rPr>
          <w:b/>
          <w:bCs/>
          <w:color w:val="000000" w:themeColor="text1"/>
          <w:sz w:val="40"/>
          <w:szCs w:val="36"/>
        </w:rPr>
      </w:pPr>
      <w:r w:rsidRPr="008D146C">
        <w:rPr>
          <w:b/>
          <w:bCs/>
          <w:color w:val="000000" w:themeColor="text1"/>
          <w:sz w:val="40"/>
          <w:szCs w:val="36"/>
        </w:rPr>
        <w:t>ACCOMPAGNE PAR LA DREETS</w:t>
      </w:r>
    </w:p>
    <w:p w14:paraId="75F39513" w14:textId="317B05BD" w:rsidR="008D146C" w:rsidRPr="00E61256" w:rsidRDefault="008D146C" w:rsidP="008D146C">
      <w:pPr>
        <w:pStyle w:val="Paragraphedeliste"/>
        <w:spacing w:after="0"/>
        <w:jc w:val="center"/>
        <w:rPr>
          <w:b/>
          <w:bCs/>
          <w:color w:val="000000" w:themeColor="text1"/>
          <w:sz w:val="20"/>
          <w:szCs w:val="20"/>
        </w:rPr>
      </w:pPr>
    </w:p>
    <w:p w14:paraId="1CAAE4C1" w14:textId="017D724A" w:rsidR="008D146C" w:rsidRDefault="008D146C" w:rsidP="008D146C">
      <w:pPr>
        <w:pStyle w:val="Paragraphedeliste"/>
        <w:spacing w:after="0"/>
        <w:jc w:val="center"/>
        <w:rPr>
          <w:b/>
          <w:bCs/>
          <w:color w:val="0070C0"/>
          <w:sz w:val="40"/>
          <w:szCs w:val="36"/>
        </w:rPr>
      </w:pPr>
      <w:r w:rsidRPr="00787AFC">
        <w:rPr>
          <w:b/>
          <w:bCs/>
          <w:color w:val="0070C0"/>
          <w:sz w:val="40"/>
          <w:szCs w:val="36"/>
        </w:rPr>
        <w:t>VISITE AU MOMENT DE L’EMBAUCHE</w:t>
      </w:r>
    </w:p>
    <w:p w14:paraId="4496333C" w14:textId="68FBCB69" w:rsidR="00FE186B" w:rsidRPr="00787AFC" w:rsidRDefault="00FE186B" w:rsidP="008D146C">
      <w:pPr>
        <w:pStyle w:val="Paragraphedeliste"/>
        <w:spacing w:after="0"/>
        <w:jc w:val="center"/>
        <w:rPr>
          <w:b/>
          <w:bCs/>
          <w:color w:val="0070C0"/>
          <w:sz w:val="40"/>
          <w:szCs w:val="36"/>
        </w:rPr>
      </w:pPr>
      <w:r>
        <w:rPr>
          <w:b/>
          <w:bCs/>
          <w:color w:val="0070C0"/>
          <w:sz w:val="40"/>
          <w:szCs w:val="36"/>
        </w:rPr>
        <w:t>ET SUIVI PERIODIQUE</w:t>
      </w:r>
    </w:p>
    <w:p w14:paraId="6316747D" w14:textId="0EA19EB7" w:rsidR="008D146C" w:rsidRPr="00787AFC" w:rsidRDefault="008D146C" w:rsidP="008D146C">
      <w:pPr>
        <w:pStyle w:val="Paragraphedeliste"/>
        <w:spacing w:after="0"/>
        <w:jc w:val="center"/>
        <w:rPr>
          <w:b/>
          <w:bCs/>
          <w:color w:val="0070C0"/>
          <w:sz w:val="40"/>
          <w:szCs w:val="36"/>
        </w:rPr>
      </w:pPr>
      <w:r w:rsidRPr="00787AFC">
        <w:rPr>
          <w:b/>
          <w:bCs/>
          <w:color w:val="0070C0"/>
          <w:sz w:val="40"/>
          <w:szCs w:val="36"/>
        </w:rPr>
        <w:t>REALISE PAR UN</w:t>
      </w:r>
      <w:r w:rsidR="00B5516C">
        <w:rPr>
          <w:b/>
          <w:bCs/>
          <w:color w:val="0070C0"/>
          <w:sz w:val="40"/>
          <w:szCs w:val="36"/>
        </w:rPr>
        <w:t>(E)</w:t>
      </w:r>
      <w:r w:rsidRPr="00787AFC">
        <w:rPr>
          <w:b/>
          <w:bCs/>
          <w:color w:val="0070C0"/>
          <w:sz w:val="40"/>
          <w:szCs w:val="36"/>
        </w:rPr>
        <w:t xml:space="preserve"> IDEST</w:t>
      </w:r>
    </w:p>
    <w:p w14:paraId="10D202C8" w14:textId="63C17FAE" w:rsidR="008D146C" w:rsidRPr="00E61256" w:rsidRDefault="008D146C" w:rsidP="00847562">
      <w:pPr>
        <w:pStyle w:val="Paragraphedeliste"/>
        <w:spacing w:after="0"/>
        <w:ind w:left="0"/>
        <w:jc w:val="center"/>
        <w:rPr>
          <w:b/>
          <w:bCs/>
          <w:color w:val="C00000"/>
          <w:sz w:val="20"/>
          <w:szCs w:val="20"/>
        </w:rPr>
      </w:pPr>
    </w:p>
    <w:p w14:paraId="114C2BED" w14:textId="520DF339" w:rsidR="008D146C" w:rsidRPr="00564E59" w:rsidRDefault="00564E59" w:rsidP="0026749F">
      <w:pPr>
        <w:pStyle w:val="Paragraphedeliste"/>
        <w:spacing w:after="0"/>
        <w:ind w:left="567"/>
        <w:jc w:val="center"/>
        <w:rPr>
          <w:b/>
          <w:bCs/>
          <w:color w:val="C00000"/>
          <w:sz w:val="44"/>
          <w:szCs w:val="44"/>
        </w:rPr>
      </w:pPr>
      <w:r w:rsidRPr="00564E59">
        <w:rPr>
          <w:b/>
          <w:bCs/>
          <w:color w:val="C00000"/>
          <w:sz w:val="44"/>
          <w:szCs w:val="44"/>
        </w:rPr>
        <w:t>AGENTS BIOLOGIQUES DES GROUPES 3 ET 4</w:t>
      </w:r>
    </w:p>
    <w:p w14:paraId="0AFFC732" w14:textId="77777777" w:rsidR="005C2763" w:rsidRPr="00152F59" w:rsidRDefault="005C2763" w:rsidP="00152F59">
      <w:pPr>
        <w:spacing w:after="0"/>
        <w:rPr>
          <w:sz w:val="32"/>
          <w:szCs w:val="32"/>
        </w:rPr>
      </w:pPr>
    </w:p>
    <w:p w14:paraId="11897659" w14:textId="59DACDC8" w:rsidR="00AC213D" w:rsidRPr="005C2763" w:rsidRDefault="00AC213D" w:rsidP="00AC213D">
      <w:pPr>
        <w:pStyle w:val="Paragraphedeliste"/>
        <w:spacing w:after="0"/>
        <w:rPr>
          <w:sz w:val="28"/>
          <w:szCs w:val="32"/>
        </w:rPr>
      </w:pPr>
      <w:r w:rsidRPr="005C2763">
        <w:rPr>
          <w:sz w:val="28"/>
          <w:szCs w:val="32"/>
        </w:rPr>
        <w:t>Ce protocole est établi par le médecin du travail suivant :</w:t>
      </w:r>
    </w:p>
    <w:p w14:paraId="7C5D4E4E" w14:textId="4EF0F7BB" w:rsidR="00AC213D" w:rsidRDefault="00AC213D" w:rsidP="00AC213D">
      <w:pPr>
        <w:pStyle w:val="Paragraphedeliste"/>
        <w:spacing w:after="0"/>
        <w:rPr>
          <w:sz w:val="32"/>
          <w:szCs w:val="32"/>
        </w:rPr>
      </w:pPr>
    </w:p>
    <w:tbl>
      <w:tblPr>
        <w:tblStyle w:val="Grilledutableau"/>
        <w:tblW w:w="9640" w:type="dxa"/>
        <w:tblInd w:w="-147" w:type="dxa"/>
        <w:tblLook w:val="04A0" w:firstRow="1" w:lastRow="0" w:firstColumn="1" w:lastColumn="0" w:noHBand="0" w:noVBand="1"/>
      </w:tblPr>
      <w:tblGrid>
        <w:gridCol w:w="3666"/>
        <w:gridCol w:w="2730"/>
        <w:gridCol w:w="3244"/>
      </w:tblGrid>
      <w:tr w:rsidR="00152F59" w14:paraId="7F19FBA1" w14:textId="77777777" w:rsidTr="00152F59">
        <w:tc>
          <w:tcPr>
            <w:tcW w:w="3666" w:type="dxa"/>
            <w:vAlign w:val="center"/>
          </w:tcPr>
          <w:p w14:paraId="23C636B9" w14:textId="42997034" w:rsidR="00152F59" w:rsidRDefault="00152F59" w:rsidP="00152F59">
            <w:pPr>
              <w:pStyle w:val="Paragraphedeliste"/>
              <w:ind w:left="0"/>
              <w:jc w:val="center"/>
              <w:rPr>
                <w:sz w:val="32"/>
                <w:szCs w:val="32"/>
              </w:rPr>
            </w:pPr>
            <w:r>
              <w:rPr>
                <w:sz w:val="32"/>
                <w:szCs w:val="32"/>
              </w:rPr>
              <w:t>Médecin du Travail</w:t>
            </w:r>
          </w:p>
        </w:tc>
        <w:tc>
          <w:tcPr>
            <w:tcW w:w="2730" w:type="dxa"/>
            <w:vAlign w:val="center"/>
          </w:tcPr>
          <w:p w14:paraId="062E231D" w14:textId="72E3801E" w:rsidR="00152F59" w:rsidRDefault="00152F59" w:rsidP="00152F59">
            <w:pPr>
              <w:pStyle w:val="Paragraphedeliste"/>
              <w:ind w:left="0"/>
              <w:jc w:val="center"/>
              <w:rPr>
                <w:sz w:val="32"/>
                <w:szCs w:val="32"/>
              </w:rPr>
            </w:pPr>
            <w:r>
              <w:rPr>
                <w:sz w:val="32"/>
                <w:szCs w:val="32"/>
              </w:rPr>
              <w:t>Date</w:t>
            </w:r>
          </w:p>
        </w:tc>
        <w:tc>
          <w:tcPr>
            <w:tcW w:w="3244" w:type="dxa"/>
            <w:vAlign w:val="center"/>
          </w:tcPr>
          <w:p w14:paraId="3305C316" w14:textId="6C29CEFA" w:rsidR="00152F59" w:rsidRDefault="00152F59" w:rsidP="00152F59">
            <w:pPr>
              <w:pStyle w:val="Paragraphedeliste"/>
              <w:ind w:left="0"/>
              <w:jc w:val="center"/>
              <w:rPr>
                <w:sz w:val="32"/>
                <w:szCs w:val="32"/>
              </w:rPr>
            </w:pPr>
            <w:r>
              <w:rPr>
                <w:sz w:val="32"/>
                <w:szCs w:val="32"/>
              </w:rPr>
              <w:t>Signature</w:t>
            </w:r>
          </w:p>
        </w:tc>
      </w:tr>
      <w:tr w:rsidR="00152F59" w14:paraId="48E4C978" w14:textId="77777777" w:rsidTr="00D05D7B">
        <w:trPr>
          <w:trHeight w:val="1385"/>
        </w:trPr>
        <w:tc>
          <w:tcPr>
            <w:tcW w:w="3666" w:type="dxa"/>
          </w:tcPr>
          <w:p w14:paraId="22D74B1F" w14:textId="435A6109" w:rsidR="00152F59" w:rsidRDefault="00152F59" w:rsidP="00AC213D">
            <w:pPr>
              <w:pStyle w:val="Paragraphedeliste"/>
              <w:ind w:left="0"/>
              <w:rPr>
                <w:sz w:val="32"/>
                <w:szCs w:val="32"/>
              </w:rPr>
            </w:pPr>
          </w:p>
        </w:tc>
        <w:tc>
          <w:tcPr>
            <w:tcW w:w="2730" w:type="dxa"/>
          </w:tcPr>
          <w:p w14:paraId="3869B303" w14:textId="77777777" w:rsidR="00152F59" w:rsidRDefault="00152F59" w:rsidP="00AC213D">
            <w:pPr>
              <w:pStyle w:val="Paragraphedeliste"/>
              <w:ind w:left="0"/>
              <w:rPr>
                <w:sz w:val="32"/>
                <w:szCs w:val="32"/>
              </w:rPr>
            </w:pPr>
          </w:p>
        </w:tc>
        <w:tc>
          <w:tcPr>
            <w:tcW w:w="3244" w:type="dxa"/>
          </w:tcPr>
          <w:p w14:paraId="4A055042" w14:textId="77777777" w:rsidR="00152F59" w:rsidRDefault="00152F59" w:rsidP="00AC213D">
            <w:pPr>
              <w:pStyle w:val="Paragraphedeliste"/>
              <w:ind w:left="0"/>
              <w:rPr>
                <w:sz w:val="32"/>
                <w:szCs w:val="32"/>
              </w:rPr>
            </w:pPr>
          </w:p>
        </w:tc>
      </w:tr>
    </w:tbl>
    <w:p w14:paraId="0D5CB23B" w14:textId="382E2720" w:rsidR="007B4D83" w:rsidRDefault="007B4D83" w:rsidP="00AC213D">
      <w:pPr>
        <w:pStyle w:val="Paragraphedeliste"/>
        <w:spacing w:after="0"/>
        <w:rPr>
          <w:sz w:val="32"/>
          <w:szCs w:val="32"/>
        </w:rPr>
      </w:pPr>
    </w:p>
    <w:p w14:paraId="538276F3" w14:textId="42B13EB5" w:rsidR="00AC213D" w:rsidRDefault="00AC213D" w:rsidP="00AC213D">
      <w:pPr>
        <w:pStyle w:val="Paragraphedeliste"/>
        <w:spacing w:after="0"/>
        <w:rPr>
          <w:sz w:val="28"/>
          <w:szCs w:val="32"/>
        </w:rPr>
      </w:pPr>
      <w:r w:rsidRPr="005C2763">
        <w:rPr>
          <w:sz w:val="28"/>
          <w:szCs w:val="32"/>
        </w:rPr>
        <w:t>Il est destiné à l’infirmier(ère) de santé au travail suivant :</w:t>
      </w:r>
    </w:p>
    <w:p w14:paraId="24BF8165" w14:textId="77777777" w:rsidR="00152F59" w:rsidRDefault="00152F59" w:rsidP="00AC213D">
      <w:pPr>
        <w:pStyle w:val="Paragraphedeliste"/>
        <w:spacing w:after="0"/>
        <w:rPr>
          <w:sz w:val="28"/>
          <w:szCs w:val="32"/>
        </w:rPr>
      </w:pPr>
    </w:p>
    <w:tbl>
      <w:tblPr>
        <w:tblStyle w:val="Grilledutableau"/>
        <w:tblW w:w="9640" w:type="dxa"/>
        <w:tblInd w:w="-147" w:type="dxa"/>
        <w:tblLook w:val="04A0" w:firstRow="1" w:lastRow="0" w:firstColumn="1" w:lastColumn="0" w:noHBand="0" w:noVBand="1"/>
      </w:tblPr>
      <w:tblGrid>
        <w:gridCol w:w="3666"/>
        <w:gridCol w:w="2730"/>
        <w:gridCol w:w="3244"/>
      </w:tblGrid>
      <w:tr w:rsidR="00152F59" w14:paraId="4F971144" w14:textId="77777777" w:rsidTr="00564E59">
        <w:tc>
          <w:tcPr>
            <w:tcW w:w="3666" w:type="dxa"/>
            <w:vAlign w:val="center"/>
          </w:tcPr>
          <w:p w14:paraId="236F47E4" w14:textId="4E1C01CC" w:rsidR="00152F59" w:rsidRDefault="00152F59" w:rsidP="00564E59">
            <w:pPr>
              <w:pStyle w:val="Paragraphedeliste"/>
              <w:ind w:left="0"/>
              <w:jc w:val="center"/>
              <w:rPr>
                <w:sz w:val="32"/>
                <w:szCs w:val="32"/>
              </w:rPr>
            </w:pPr>
            <w:r>
              <w:rPr>
                <w:sz w:val="32"/>
                <w:szCs w:val="32"/>
              </w:rPr>
              <w:t>IDEST</w:t>
            </w:r>
          </w:p>
        </w:tc>
        <w:tc>
          <w:tcPr>
            <w:tcW w:w="2730" w:type="dxa"/>
            <w:vAlign w:val="center"/>
          </w:tcPr>
          <w:p w14:paraId="7F25A94D" w14:textId="77777777" w:rsidR="00152F59" w:rsidRDefault="00152F59" w:rsidP="00564E59">
            <w:pPr>
              <w:pStyle w:val="Paragraphedeliste"/>
              <w:ind w:left="0"/>
              <w:jc w:val="center"/>
              <w:rPr>
                <w:sz w:val="32"/>
                <w:szCs w:val="32"/>
              </w:rPr>
            </w:pPr>
            <w:r>
              <w:rPr>
                <w:sz w:val="32"/>
                <w:szCs w:val="32"/>
              </w:rPr>
              <w:t>Date</w:t>
            </w:r>
          </w:p>
        </w:tc>
        <w:tc>
          <w:tcPr>
            <w:tcW w:w="3244" w:type="dxa"/>
            <w:vAlign w:val="center"/>
          </w:tcPr>
          <w:p w14:paraId="62DCE702" w14:textId="77777777" w:rsidR="00152F59" w:rsidRDefault="00152F59" w:rsidP="00564E59">
            <w:pPr>
              <w:pStyle w:val="Paragraphedeliste"/>
              <w:ind w:left="0"/>
              <w:jc w:val="center"/>
              <w:rPr>
                <w:sz w:val="32"/>
                <w:szCs w:val="32"/>
              </w:rPr>
            </w:pPr>
            <w:r>
              <w:rPr>
                <w:sz w:val="32"/>
                <w:szCs w:val="32"/>
              </w:rPr>
              <w:t>Signature</w:t>
            </w:r>
          </w:p>
        </w:tc>
      </w:tr>
      <w:tr w:rsidR="00152F59" w14:paraId="5ADA7F78" w14:textId="77777777" w:rsidTr="00D05D7B">
        <w:trPr>
          <w:trHeight w:val="1325"/>
        </w:trPr>
        <w:tc>
          <w:tcPr>
            <w:tcW w:w="3666" w:type="dxa"/>
          </w:tcPr>
          <w:p w14:paraId="717E39DD" w14:textId="34756434" w:rsidR="00152F59" w:rsidRDefault="00152F59" w:rsidP="00564E59">
            <w:pPr>
              <w:pStyle w:val="Paragraphedeliste"/>
              <w:ind w:left="0"/>
              <w:rPr>
                <w:sz w:val="32"/>
                <w:szCs w:val="32"/>
              </w:rPr>
            </w:pPr>
          </w:p>
        </w:tc>
        <w:tc>
          <w:tcPr>
            <w:tcW w:w="2730" w:type="dxa"/>
          </w:tcPr>
          <w:p w14:paraId="127EBD29" w14:textId="77777777" w:rsidR="00152F59" w:rsidRDefault="00152F59" w:rsidP="00564E59">
            <w:pPr>
              <w:pStyle w:val="Paragraphedeliste"/>
              <w:ind w:left="0"/>
              <w:rPr>
                <w:sz w:val="32"/>
                <w:szCs w:val="32"/>
              </w:rPr>
            </w:pPr>
          </w:p>
        </w:tc>
        <w:tc>
          <w:tcPr>
            <w:tcW w:w="3244" w:type="dxa"/>
          </w:tcPr>
          <w:p w14:paraId="232B9AB3" w14:textId="77777777" w:rsidR="00152F59" w:rsidRDefault="00152F59" w:rsidP="00564E59">
            <w:pPr>
              <w:pStyle w:val="Paragraphedeliste"/>
              <w:ind w:left="0"/>
              <w:rPr>
                <w:sz w:val="32"/>
                <w:szCs w:val="32"/>
              </w:rPr>
            </w:pPr>
          </w:p>
        </w:tc>
      </w:tr>
    </w:tbl>
    <w:p w14:paraId="6221CB91" w14:textId="77777777" w:rsidR="00D05D7B" w:rsidRDefault="00D05D7B" w:rsidP="00D05D7B">
      <w:pPr>
        <w:pStyle w:val="Paragraphedeliste"/>
        <w:rPr>
          <w:i/>
          <w:sz w:val="36"/>
          <w:u w:val="single"/>
        </w:rPr>
      </w:pPr>
    </w:p>
    <w:p w14:paraId="23877DA4" w14:textId="77777777" w:rsidR="00564E59" w:rsidRDefault="00564E59">
      <w:pPr>
        <w:rPr>
          <w:i/>
          <w:sz w:val="36"/>
          <w:u w:val="single"/>
        </w:rPr>
      </w:pPr>
      <w:r>
        <w:rPr>
          <w:i/>
          <w:sz w:val="36"/>
          <w:u w:val="single"/>
        </w:rPr>
        <w:br w:type="page"/>
      </w:r>
    </w:p>
    <w:p w14:paraId="46F5FB71" w14:textId="7C38A10E" w:rsidR="00396D4A" w:rsidRDefault="008B73F0" w:rsidP="00DB5930">
      <w:pPr>
        <w:pStyle w:val="Paragraphedeliste"/>
        <w:numPr>
          <w:ilvl w:val="0"/>
          <w:numId w:val="1"/>
        </w:numPr>
        <w:rPr>
          <w:i/>
          <w:sz w:val="36"/>
          <w:u w:val="single"/>
        </w:rPr>
      </w:pPr>
      <w:r w:rsidRPr="00AC213D">
        <w:rPr>
          <w:i/>
          <w:sz w:val="36"/>
          <w:u w:val="single"/>
        </w:rPr>
        <w:lastRenderedPageBreak/>
        <w:t>Définitions</w:t>
      </w:r>
      <w:r w:rsidR="00C175B2" w:rsidRPr="00AC213D">
        <w:rPr>
          <w:i/>
          <w:sz w:val="36"/>
          <w:u w:val="single"/>
        </w:rPr>
        <w:t xml:space="preserve"> – Cadre </w:t>
      </w:r>
      <w:r w:rsidR="00AC213D">
        <w:rPr>
          <w:i/>
          <w:sz w:val="36"/>
          <w:u w:val="single"/>
        </w:rPr>
        <w:t>législatif</w:t>
      </w:r>
    </w:p>
    <w:p w14:paraId="77ABB14A" w14:textId="77777777" w:rsidR="008B73F0" w:rsidRPr="00AC213D" w:rsidRDefault="008B73F0" w:rsidP="00564E59">
      <w:pPr>
        <w:spacing w:after="0"/>
        <w:jc w:val="both"/>
      </w:pPr>
      <w:r w:rsidRPr="00AC213D">
        <w:rPr>
          <w:b/>
          <w:u w:val="single"/>
        </w:rPr>
        <w:t>Agents biologiques</w:t>
      </w:r>
      <w:r w:rsidRPr="00AC213D">
        <w:t> : les agents biologiques pathogènes sont responsables des maladies infectieuses chez l’homme (bactéries, virus, parasites et champignons).</w:t>
      </w:r>
      <w:r w:rsidR="00283307" w:rsidRPr="00AC213D">
        <w:t xml:space="preserve"> La liste des agents biologiques pathogènes a été fixée par l’</w:t>
      </w:r>
      <w:r w:rsidR="006C132C" w:rsidRPr="00AC213D">
        <w:t>A</w:t>
      </w:r>
      <w:r w:rsidR="00283307" w:rsidRPr="00AC213D">
        <w:t>rr</w:t>
      </w:r>
      <w:r w:rsidR="00EF2C54" w:rsidRPr="00AC213D">
        <w:t>êté du 18</w:t>
      </w:r>
      <w:r w:rsidR="00283307" w:rsidRPr="00AC213D">
        <w:t xml:space="preserve"> Juillet 1994</w:t>
      </w:r>
      <w:r w:rsidR="006C132C" w:rsidRPr="00AC213D">
        <w:t xml:space="preserve"> modifié par l’Arrêté du 30 Juin 1998.</w:t>
      </w:r>
    </w:p>
    <w:p w14:paraId="46622208" w14:textId="77777777" w:rsidR="00564E59" w:rsidRDefault="00564E59" w:rsidP="00564E59">
      <w:pPr>
        <w:spacing w:after="0"/>
        <w:jc w:val="both"/>
        <w:rPr>
          <w:b/>
          <w:u w:val="single"/>
        </w:rPr>
      </w:pPr>
    </w:p>
    <w:p w14:paraId="10BD5DA5" w14:textId="77777777" w:rsidR="008B73F0" w:rsidRPr="00AE00FD" w:rsidRDefault="008B73F0" w:rsidP="00564E59">
      <w:pPr>
        <w:spacing w:after="0"/>
        <w:jc w:val="both"/>
        <w:rPr>
          <w:b/>
        </w:rPr>
      </w:pPr>
      <w:r w:rsidRPr="00AE00FD">
        <w:rPr>
          <w:b/>
          <w:u w:val="single"/>
        </w:rPr>
        <w:t>Ils sont classés en 4 groupes</w:t>
      </w:r>
      <w:r w:rsidRPr="00AE00FD">
        <w:rPr>
          <w:b/>
        </w:rPr>
        <w:t> :</w:t>
      </w:r>
    </w:p>
    <w:p w14:paraId="4BBE3CDC" w14:textId="77777777" w:rsidR="008B73F0" w:rsidRPr="00AC213D" w:rsidRDefault="008B73F0" w:rsidP="00564E59">
      <w:pPr>
        <w:pStyle w:val="Paragraphedeliste"/>
        <w:numPr>
          <w:ilvl w:val="0"/>
          <w:numId w:val="4"/>
        </w:numPr>
        <w:spacing w:after="0"/>
        <w:jc w:val="both"/>
      </w:pPr>
      <w:r w:rsidRPr="00AC213D">
        <w:rPr>
          <w:b/>
        </w:rPr>
        <w:t>Groupe 1</w:t>
      </w:r>
      <w:r w:rsidRPr="00AC213D">
        <w:t xml:space="preserve"> = agents biologiques non susceptibles de provoquer une maladie chez l’homme</w:t>
      </w:r>
    </w:p>
    <w:p w14:paraId="5C31AD6B" w14:textId="77777777" w:rsidR="008B73F0" w:rsidRPr="00AC213D" w:rsidRDefault="008B73F0" w:rsidP="00564E59">
      <w:pPr>
        <w:pStyle w:val="Paragraphedeliste"/>
        <w:numPr>
          <w:ilvl w:val="0"/>
          <w:numId w:val="4"/>
        </w:numPr>
        <w:spacing w:after="0"/>
        <w:jc w:val="both"/>
      </w:pPr>
      <w:r w:rsidRPr="00AC213D">
        <w:rPr>
          <w:b/>
        </w:rPr>
        <w:t>Groupe 2</w:t>
      </w:r>
      <w:r w:rsidRPr="00AC213D">
        <w:t xml:space="preserve"> = agents biologiques pouvant provoquer une maladie chez l’homme et constituer un danger pour les travailleurs. Leur propagation dans la collectivité est peu probable, il existe généralement une prophy</w:t>
      </w:r>
      <w:r w:rsidR="004E4A50">
        <w:t>laxie ou un traitement efficace (ex : varicelle,</w:t>
      </w:r>
      <w:r w:rsidR="00024262">
        <w:t xml:space="preserve"> leptospirose,</w:t>
      </w:r>
      <w:r w:rsidR="004E4A50">
        <w:t>…).</w:t>
      </w:r>
    </w:p>
    <w:p w14:paraId="78D6D87B" w14:textId="27024834" w:rsidR="008B73F0" w:rsidRPr="00AC213D" w:rsidRDefault="008B73F0" w:rsidP="00564E59">
      <w:pPr>
        <w:pStyle w:val="Paragraphedeliste"/>
        <w:numPr>
          <w:ilvl w:val="0"/>
          <w:numId w:val="4"/>
        </w:numPr>
        <w:spacing w:after="0"/>
        <w:jc w:val="both"/>
      </w:pPr>
      <w:r w:rsidRPr="00AC213D">
        <w:rPr>
          <w:b/>
        </w:rPr>
        <w:t>Groupe 3</w:t>
      </w:r>
      <w:r w:rsidRPr="00AC213D">
        <w:t xml:space="preserve"> = agents biologiques pouvant provoquer une maladie grave chez l’homme et constituer un danger sérieux pour les travailleurs. Leur propagation dans la collectivité est possible, mais il existe généralement une prophy</w:t>
      </w:r>
      <w:r w:rsidR="004E4A50">
        <w:t>laxie ou un traitement efficace (ex : Escherichia Coli, salmonellose, VIH, rage, hépatite</w:t>
      </w:r>
      <w:r w:rsidR="00FB63C3">
        <w:t>s</w:t>
      </w:r>
      <w:r w:rsidR="00024262">
        <w:t>,</w:t>
      </w:r>
      <w:r w:rsidR="00FB63C3">
        <w:t xml:space="preserve"> </w:t>
      </w:r>
      <w:r w:rsidR="000C06C6">
        <w:t>tuberculose, …</w:t>
      </w:r>
      <w:r w:rsidR="004E4A50">
        <w:t>).</w:t>
      </w:r>
    </w:p>
    <w:p w14:paraId="653BD520" w14:textId="2167DE0E" w:rsidR="008B73F0" w:rsidRPr="00AC213D" w:rsidRDefault="008B73F0" w:rsidP="00564E59">
      <w:pPr>
        <w:pStyle w:val="Paragraphedeliste"/>
        <w:numPr>
          <w:ilvl w:val="0"/>
          <w:numId w:val="4"/>
        </w:numPr>
        <w:spacing w:after="0"/>
        <w:jc w:val="both"/>
      </w:pPr>
      <w:r w:rsidRPr="00AC213D">
        <w:rPr>
          <w:b/>
        </w:rPr>
        <w:t>Groupe 4</w:t>
      </w:r>
      <w:r w:rsidRPr="00AC213D">
        <w:t xml:space="preserve"> = agents biologiques qui provoquent des maladies graves chez l’homme et constituent un danger sérieux pour les travailleurs. Le risque de propagation dans la collectivité est élevé, il n’existe généralement ni pro</w:t>
      </w:r>
      <w:r w:rsidR="004E4A50">
        <w:t xml:space="preserve">phylaxie ni traitement efficace (ex : Ebola, variole, fièvre </w:t>
      </w:r>
      <w:r w:rsidR="000C06C6">
        <w:t>hémorragique, …</w:t>
      </w:r>
      <w:r w:rsidR="004E4A50">
        <w:t>).</w:t>
      </w:r>
    </w:p>
    <w:p w14:paraId="3DC06878" w14:textId="77777777" w:rsidR="00564E59" w:rsidRDefault="00564E59" w:rsidP="00564E59">
      <w:pPr>
        <w:spacing w:after="0" w:line="240" w:lineRule="auto"/>
        <w:jc w:val="both"/>
        <w:rPr>
          <w:sz w:val="20"/>
          <w:szCs w:val="20"/>
        </w:rPr>
      </w:pPr>
    </w:p>
    <w:p w14:paraId="436C22F0" w14:textId="7DC8F81B" w:rsidR="008B73F0" w:rsidRDefault="00715847" w:rsidP="00BF7FA6">
      <w:pPr>
        <w:spacing w:line="240" w:lineRule="auto"/>
        <w:jc w:val="both"/>
        <w:rPr>
          <w:sz w:val="20"/>
          <w:szCs w:val="20"/>
        </w:rPr>
      </w:pPr>
      <w:r w:rsidRPr="00BA07FD">
        <w:rPr>
          <w:sz w:val="20"/>
          <w:szCs w:val="20"/>
        </w:rPr>
        <w:t>Cette classification a été introduite dans l</w:t>
      </w:r>
      <w:r w:rsidR="0012547C" w:rsidRPr="00BA07FD">
        <w:rPr>
          <w:sz w:val="20"/>
          <w:szCs w:val="20"/>
        </w:rPr>
        <w:t>e</w:t>
      </w:r>
      <w:r w:rsidRPr="00BA07FD">
        <w:rPr>
          <w:sz w:val="20"/>
          <w:szCs w:val="20"/>
        </w:rPr>
        <w:t xml:space="preserve"> </w:t>
      </w:r>
      <w:r w:rsidRPr="00BA07FD">
        <w:rPr>
          <w:b/>
          <w:sz w:val="20"/>
          <w:szCs w:val="20"/>
        </w:rPr>
        <w:t>Code du Travail</w:t>
      </w:r>
      <w:r w:rsidRPr="00BA07FD">
        <w:rPr>
          <w:sz w:val="20"/>
          <w:szCs w:val="20"/>
        </w:rPr>
        <w:t xml:space="preserve"> par l’Article R.</w:t>
      </w:r>
      <w:r w:rsidR="00617CAF" w:rsidRPr="00BA07FD">
        <w:rPr>
          <w:sz w:val="20"/>
          <w:szCs w:val="20"/>
        </w:rPr>
        <w:t>4421-3</w:t>
      </w:r>
      <w:r w:rsidR="00A510E7" w:rsidRPr="00BA07FD">
        <w:rPr>
          <w:sz w:val="20"/>
          <w:szCs w:val="20"/>
        </w:rPr>
        <w:t xml:space="preserve"> (créé par Décret n°2008-244 du 7 mars 2008)</w:t>
      </w:r>
      <w:r w:rsidR="00B22F51" w:rsidRPr="00BA07FD">
        <w:rPr>
          <w:sz w:val="20"/>
          <w:szCs w:val="20"/>
        </w:rPr>
        <w:t xml:space="preserve">. </w:t>
      </w:r>
      <w:r w:rsidR="00283307" w:rsidRPr="00BA07FD">
        <w:rPr>
          <w:sz w:val="20"/>
          <w:szCs w:val="20"/>
        </w:rPr>
        <w:t>Sont concernés par ce</w:t>
      </w:r>
      <w:r w:rsidR="00067BAA">
        <w:rPr>
          <w:sz w:val="20"/>
          <w:szCs w:val="20"/>
        </w:rPr>
        <w:t xml:space="preserve"> </w:t>
      </w:r>
      <w:r w:rsidR="00067BAA" w:rsidRPr="00067BAA">
        <w:rPr>
          <w:b/>
          <w:bCs/>
          <w:sz w:val="20"/>
          <w:szCs w:val="20"/>
        </w:rPr>
        <w:t>S</w:t>
      </w:r>
      <w:r w:rsidR="00067BAA">
        <w:rPr>
          <w:b/>
          <w:bCs/>
          <w:sz w:val="20"/>
          <w:szCs w:val="20"/>
        </w:rPr>
        <w:t xml:space="preserve">uivi </w:t>
      </w:r>
      <w:r w:rsidR="00067BAA" w:rsidRPr="00067BAA">
        <w:rPr>
          <w:b/>
          <w:bCs/>
          <w:sz w:val="20"/>
          <w:szCs w:val="20"/>
        </w:rPr>
        <w:t>I</w:t>
      </w:r>
      <w:r w:rsidR="00067BAA">
        <w:rPr>
          <w:b/>
          <w:bCs/>
          <w:sz w:val="20"/>
          <w:szCs w:val="20"/>
        </w:rPr>
        <w:t xml:space="preserve">ndividuel </w:t>
      </w:r>
      <w:r w:rsidR="00067BAA" w:rsidRPr="00067BAA">
        <w:rPr>
          <w:b/>
          <w:bCs/>
          <w:sz w:val="20"/>
          <w:szCs w:val="20"/>
        </w:rPr>
        <w:t>R</w:t>
      </w:r>
      <w:r w:rsidR="00067BAA">
        <w:rPr>
          <w:b/>
          <w:bCs/>
          <w:sz w:val="20"/>
          <w:szCs w:val="20"/>
        </w:rPr>
        <w:t>enforcé</w:t>
      </w:r>
      <w:r w:rsidR="00283307" w:rsidRPr="00BA07FD">
        <w:rPr>
          <w:sz w:val="20"/>
          <w:szCs w:val="20"/>
        </w:rPr>
        <w:t xml:space="preserve">, les salariés exposés aux </w:t>
      </w:r>
      <w:r w:rsidR="00283307" w:rsidRPr="00067BAA">
        <w:rPr>
          <w:b/>
          <w:bCs/>
          <w:sz w:val="20"/>
          <w:szCs w:val="20"/>
        </w:rPr>
        <w:t>agents biologiques des</w:t>
      </w:r>
      <w:r w:rsidR="00283307" w:rsidRPr="00BA07FD">
        <w:rPr>
          <w:sz w:val="20"/>
          <w:szCs w:val="20"/>
        </w:rPr>
        <w:t xml:space="preserve"> </w:t>
      </w:r>
      <w:r w:rsidR="00283307" w:rsidRPr="00BA07FD">
        <w:rPr>
          <w:b/>
          <w:sz w:val="20"/>
          <w:szCs w:val="20"/>
        </w:rPr>
        <w:t>groupes 3 et/ou 4</w:t>
      </w:r>
      <w:r w:rsidR="00954D4E" w:rsidRPr="00BA07FD">
        <w:rPr>
          <w:sz w:val="20"/>
          <w:szCs w:val="20"/>
        </w:rPr>
        <w:t xml:space="preserve"> (Article R.4426-1.2.3</w:t>
      </w:r>
      <w:r w:rsidR="00D202B7" w:rsidRPr="00BA07FD">
        <w:rPr>
          <w:sz w:val="20"/>
          <w:szCs w:val="20"/>
        </w:rPr>
        <w:t xml:space="preserve"> et </w:t>
      </w:r>
      <w:r w:rsidR="00954D4E" w:rsidRPr="00BA07FD">
        <w:rPr>
          <w:sz w:val="20"/>
          <w:szCs w:val="20"/>
        </w:rPr>
        <w:t>4 du Code du travail)</w:t>
      </w:r>
      <w:r w:rsidR="00283307" w:rsidRPr="00BA07FD">
        <w:rPr>
          <w:sz w:val="20"/>
          <w:szCs w:val="20"/>
        </w:rPr>
        <w:t>.</w:t>
      </w:r>
    </w:p>
    <w:p w14:paraId="21E31BFF" w14:textId="20B5C69A" w:rsidR="00680D61" w:rsidRDefault="00680D61" w:rsidP="00564E59">
      <w:pPr>
        <w:spacing w:after="0" w:line="240" w:lineRule="auto"/>
        <w:jc w:val="both"/>
        <w:rPr>
          <w:sz w:val="20"/>
          <w:szCs w:val="20"/>
        </w:rPr>
      </w:pPr>
    </w:p>
    <w:p w14:paraId="268523C3" w14:textId="3FE115AF" w:rsidR="002363A3" w:rsidRDefault="008B73F0" w:rsidP="00564E59">
      <w:pPr>
        <w:pStyle w:val="Paragraphedeliste"/>
        <w:numPr>
          <w:ilvl w:val="0"/>
          <w:numId w:val="1"/>
        </w:numPr>
        <w:spacing w:after="0" w:line="240" w:lineRule="auto"/>
        <w:rPr>
          <w:i/>
          <w:sz w:val="36"/>
          <w:szCs w:val="20"/>
          <w:u w:val="single"/>
        </w:rPr>
      </w:pPr>
      <w:r w:rsidRPr="00AC213D">
        <w:rPr>
          <w:i/>
          <w:sz w:val="36"/>
          <w:szCs w:val="20"/>
          <w:u w:val="single"/>
        </w:rPr>
        <w:t>Professions exposées</w:t>
      </w:r>
      <w:r w:rsidR="00DB22BD">
        <w:rPr>
          <w:i/>
          <w:sz w:val="36"/>
          <w:szCs w:val="20"/>
          <w:u w:val="single"/>
        </w:rPr>
        <w:t xml:space="preserve"> aux risques biologiques</w:t>
      </w:r>
    </w:p>
    <w:p w14:paraId="5CB9A9C2" w14:textId="4197F7FE" w:rsidR="00071A6D" w:rsidRDefault="00071A6D" w:rsidP="00564E59">
      <w:pPr>
        <w:spacing w:after="0" w:line="240" w:lineRule="auto"/>
        <w:rPr>
          <w:szCs w:val="20"/>
        </w:rPr>
      </w:pPr>
      <w:r>
        <w:rPr>
          <w:szCs w:val="20"/>
        </w:rPr>
        <w:t>La surveillance médicale renforcée est à définir selon l’évaluation des risques.</w:t>
      </w:r>
    </w:p>
    <w:p w14:paraId="7E11B4FE" w14:textId="77777777" w:rsidR="00680D61" w:rsidRPr="00071A6D" w:rsidRDefault="00680D61" w:rsidP="00071A6D">
      <w:pPr>
        <w:spacing w:after="0"/>
        <w:rPr>
          <w:szCs w:val="20"/>
        </w:rPr>
      </w:pPr>
    </w:p>
    <w:tbl>
      <w:tblPr>
        <w:tblStyle w:val="Grilledutableau"/>
        <w:tblW w:w="10632" w:type="dxa"/>
        <w:jc w:val="center"/>
        <w:tblInd w:w="-998" w:type="dxa"/>
        <w:tblLook w:val="04A0" w:firstRow="1" w:lastRow="0" w:firstColumn="1" w:lastColumn="0" w:noHBand="0" w:noVBand="1"/>
      </w:tblPr>
      <w:tblGrid>
        <w:gridCol w:w="1839"/>
        <w:gridCol w:w="3123"/>
        <w:gridCol w:w="3189"/>
        <w:gridCol w:w="2481"/>
      </w:tblGrid>
      <w:tr w:rsidR="00A57AD3" w:rsidRPr="00AC213D" w14:paraId="6D901CF2" w14:textId="77777777" w:rsidTr="00564E59">
        <w:trPr>
          <w:jc w:val="center"/>
        </w:trPr>
        <w:tc>
          <w:tcPr>
            <w:tcW w:w="1839" w:type="dxa"/>
            <w:shd w:val="clear" w:color="auto" w:fill="D9D9D9" w:themeFill="background1" w:themeFillShade="D9"/>
          </w:tcPr>
          <w:p w14:paraId="59B260F9" w14:textId="77777777" w:rsidR="00A57AD3" w:rsidRPr="00E82CB0" w:rsidRDefault="00A57AD3" w:rsidP="008B73F0">
            <w:pPr>
              <w:rPr>
                <w:b/>
                <w:sz w:val="20"/>
              </w:rPr>
            </w:pPr>
          </w:p>
        </w:tc>
        <w:tc>
          <w:tcPr>
            <w:tcW w:w="3123" w:type="dxa"/>
            <w:shd w:val="clear" w:color="auto" w:fill="FF0000"/>
          </w:tcPr>
          <w:p w14:paraId="2B3F2712" w14:textId="77777777" w:rsidR="00A57AD3" w:rsidRPr="005310C9" w:rsidRDefault="00A57AD3" w:rsidP="00024262">
            <w:pPr>
              <w:jc w:val="center"/>
              <w:rPr>
                <w:b/>
                <w:sz w:val="20"/>
              </w:rPr>
            </w:pPr>
            <w:r w:rsidRPr="005310C9">
              <w:rPr>
                <w:b/>
                <w:color w:val="FFFFFF" w:themeColor="background1"/>
                <w:sz w:val="20"/>
              </w:rPr>
              <w:t>SIR</w:t>
            </w:r>
            <w:r w:rsidR="00E82CB0" w:rsidRPr="005310C9">
              <w:rPr>
                <w:b/>
                <w:color w:val="FFFFFF" w:themeColor="background1"/>
                <w:sz w:val="20"/>
              </w:rPr>
              <w:t xml:space="preserve"> - </w:t>
            </w:r>
            <w:r w:rsidR="0088074E" w:rsidRPr="005310C9">
              <w:rPr>
                <w:b/>
                <w:color w:val="FFFFFF" w:themeColor="background1"/>
                <w:sz w:val="20"/>
              </w:rPr>
              <w:t>G</w:t>
            </w:r>
            <w:r w:rsidR="00E82CB0" w:rsidRPr="005310C9">
              <w:rPr>
                <w:b/>
                <w:color w:val="FFFFFF" w:themeColor="background1"/>
                <w:sz w:val="20"/>
              </w:rPr>
              <w:t>roupes 3 et 4</w:t>
            </w:r>
          </w:p>
        </w:tc>
        <w:tc>
          <w:tcPr>
            <w:tcW w:w="3189" w:type="dxa"/>
            <w:shd w:val="clear" w:color="auto" w:fill="FFC000"/>
          </w:tcPr>
          <w:p w14:paraId="30CAA59F" w14:textId="7B5843A3" w:rsidR="00A57AD3" w:rsidRPr="005310C9" w:rsidRDefault="00C051D2" w:rsidP="00024262">
            <w:pPr>
              <w:jc w:val="center"/>
              <w:rPr>
                <w:b/>
                <w:color w:val="FFC000"/>
                <w:sz w:val="20"/>
              </w:rPr>
            </w:pPr>
            <w:r>
              <w:rPr>
                <w:b/>
                <w:sz w:val="20"/>
              </w:rPr>
              <w:t xml:space="preserve">SI - </w:t>
            </w:r>
            <w:r w:rsidR="00D15644" w:rsidRPr="005310C9">
              <w:rPr>
                <w:b/>
                <w:sz w:val="20"/>
              </w:rPr>
              <w:t>Groupe</w:t>
            </w:r>
            <w:r w:rsidR="00E82CB0" w:rsidRPr="005310C9">
              <w:rPr>
                <w:b/>
                <w:sz w:val="20"/>
              </w:rPr>
              <w:t xml:space="preserve"> </w:t>
            </w:r>
            <w:r w:rsidR="00D15644" w:rsidRPr="005310C9">
              <w:rPr>
                <w:b/>
                <w:sz w:val="20"/>
              </w:rPr>
              <w:t>2</w:t>
            </w:r>
          </w:p>
        </w:tc>
        <w:tc>
          <w:tcPr>
            <w:tcW w:w="2481" w:type="dxa"/>
            <w:shd w:val="clear" w:color="auto" w:fill="00B050"/>
          </w:tcPr>
          <w:p w14:paraId="6940948F" w14:textId="451A0193" w:rsidR="00A57AD3" w:rsidRPr="00E82CB0" w:rsidRDefault="00E82CB0" w:rsidP="00024262">
            <w:pPr>
              <w:jc w:val="center"/>
              <w:rPr>
                <w:b/>
                <w:sz w:val="20"/>
              </w:rPr>
            </w:pPr>
            <w:r w:rsidRPr="005310C9">
              <w:rPr>
                <w:b/>
                <w:sz w:val="20"/>
              </w:rPr>
              <w:t xml:space="preserve">Sans </w:t>
            </w:r>
            <w:r w:rsidR="00EF5892">
              <w:rPr>
                <w:b/>
                <w:sz w:val="20"/>
              </w:rPr>
              <w:t>suivi particulier</w:t>
            </w:r>
          </w:p>
        </w:tc>
      </w:tr>
      <w:tr w:rsidR="0088074E" w:rsidRPr="00AC213D" w14:paraId="287160CB" w14:textId="77777777" w:rsidTr="00564E59">
        <w:trPr>
          <w:jc w:val="center"/>
        </w:trPr>
        <w:tc>
          <w:tcPr>
            <w:tcW w:w="1839" w:type="dxa"/>
            <w:shd w:val="clear" w:color="auto" w:fill="D9D9D9" w:themeFill="background1" w:themeFillShade="D9"/>
          </w:tcPr>
          <w:p w14:paraId="4CB35870" w14:textId="77777777" w:rsidR="0088074E" w:rsidRPr="00E82CB0" w:rsidRDefault="0088074E" w:rsidP="0088074E">
            <w:pPr>
              <w:rPr>
                <w:b/>
                <w:sz w:val="20"/>
              </w:rPr>
            </w:pPr>
            <w:r w:rsidRPr="00E82CB0">
              <w:rPr>
                <w:b/>
                <w:sz w:val="20"/>
              </w:rPr>
              <w:t>Personnel soignant ou assimilé</w:t>
            </w:r>
          </w:p>
        </w:tc>
        <w:tc>
          <w:tcPr>
            <w:tcW w:w="3123" w:type="dxa"/>
            <w:shd w:val="clear" w:color="auto" w:fill="FFFFFF" w:themeFill="background1"/>
            <w:vAlign w:val="center"/>
          </w:tcPr>
          <w:p w14:paraId="1754A984" w14:textId="77777777" w:rsidR="0088074E" w:rsidRPr="00564E59" w:rsidRDefault="00E82CB0" w:rsidP="00883DC0">
            <w:pPr>
              <w:jc w:val="center"/>
              <w:rPr>
                <w:sz w:val="18"/>
                <w:szCs w:val="18"/>
              </w:rPr>
            </w:pPr>
            <w:r w:rsidRPr="00564E59">
              <w:rPr>
                <w:sz w:val="18"/>
                <w:szCs w:val="18"/>
              </w:rPr>
              <w:t>Médecins, IDE, AS, D</w:t>
            </w:r>
            <w:r w:rsidR="0088074E" w:rsidRPr="00564E59">
              <w:rPr>
                <w:sz w:val="18"/>
                <w:szCs w:val="18"/>
              </w:rPr>
              <w:t>entistes, ASH (si soins ou contact linge sale)</w:t>
            </w:r>
            <w:r w:rsidR="00D15644" w:rsidRPr="00564E59">
              <w:rPr>
                <w:sz w:val="18"/>
                <w:szCs w:val="18"/>
              </w:rPr>
              <w:t xml:space="preserve">, </w:t>
            </w:r>
            <w:r w:rsidR="0088074E" w:rsidRPr="00564E59">
              <w:rPr>
                <w:sz w:val="18"/>
                <w:szCs w:val="18"/>
              </w:rPr>
              <w:t>soins à domicile, lingeries (linge hospitalier), …</w:t>
            </w:r>
          </w:p>
        </w:tc>
        <w:tc>
          <w:tcPr>
            <w:tcW w:w="3189" w:type="dxa"/>
            <w:shd w:val="clear" w:color="auto" w:fill="FFFFFF" w:themeFill="background1"/>
            <w:vAlign w:val="center"/>
          </w:tcPr>
          <w:p w14:paraId="25F7E4DA" w14:textId="568E4BD3" w:rsidR="0088074E" w:rsidRPr="00564E59" w:rsidRDefault="0088074E" w:rsidP="00883DC0">
            <w:pPr>
              <w:jc w:val="center"/>
              <w:rPr>
                <w:sz w:val="18"/>
                <w:szCs w:val="18"/>
              </w:rPr>
            </w:pPr>
          </w:p>
        </w:tc>
        <w:tc>
          <w:tcPr>
            <w:tcW w:w="2481" w:type="dxa"/>
            <w:shd w:val="clear" w:color="auto" w:fill="FFFFFF" w:themeFill="background1"/>
            <w:vAlign w:val="center"/>
          </w:tcPr>
          <w:p w14:paraId="32134601" w14:textId="77777777" w:rsidR="0088074E" w:rsidRPr="00564E59" w:rsidRDefault="0088074E" w:rsidP="00883DC0">
            <w:pPr>
              <w:jc w:val="center"/>
              <w:rPr>
                <w:b/>
                <w:color w:val="00B050"/>
                <w:sz w:val="18"/>
                <w:szCs w:val="18"/>
              </w:rPr>
            </w:pPr>
          </w:p>
        </w:tc>
      </w:tr>
      <w:tr w:rsidR="0088074E" w:rsidRPr="00AC213D" w14:paraId="172742C4" w14:textId="77777777" w:rsidTr="00564E59">
        <w:trPr>
          <w:jc w:val="center"/>
        </w:trPr>
        <w:tc>
          <w:tcPr>
            <w:tcW w:w="1839" w:type="dxa"/>
            <w:shd w:val="clear" w:color="auto" w:fill="D9D9D9" w:themeFill="background1" w:themeFillShade="D9"/>
          </w:tcPr>
          <w:p w14:paraId="209B09B7" w14:textId="77777777" w:rsidR="0088074E" w:rsidRPr="00E82CB0" w:rsidRDefault="0088074E" w:rsidP="0088074E">
            <w:pPr>
              <w:rPr>
                <w:b/>
                <w:sz w:val="20"/>
              </w:rPr>
            </w:pPr>
            <w:r w:rsidRPr="00E82CB0">
              <w:rPr>
                <w:b/>
                <w:sz w:val="20"/>
              </w:rPr>
              <w:t>Services de secours et sécurité</w:t>
            </w:r>
          </w:p>
        </w:tc>
        <w:tc>
          <w:tcPr>
            <w:tcW w:w="3123" w:type="dxa"/>
            <w:shd w:val="clear" w:color="auto" w:fill="FFFFFF" w:themeFill="background1"/>
            <w:vAlign w:val="center"/>
          </w:tcPr>
          <w:p w14:paraId="76D06D45" w14:textId="77777777" w:rsidR="0088074E" w:rsidRPr="00564E59" w:rsidRDefault="000D34FA" w:rsidP="00883DC0">
            <w:pPr>
              <w:jc w:val="center"/>
              <w:rPr>
                <w:sz w:val="18"/>
                <w:szCs w:val="18"/>
              </w:rPr>
            </w:pPr>
            <w:r w:rsidRPr="00564E59">
              <w:rPr>
                <w:sz w:val="18"/>
                <w:szCs w:val="18"/>
              </w:rPr>
              <w:t>A</w:t>
            </w:r>
            <w:r w:rsidR="0088074E" w:rsidRPr="00564E59">
              <w:rPr>
                <w:sz w:val="18"/>
                <w:szCs w:val="18"/>
              </w:rPr>
              <w:t>mbulanciers…</w:t>
            </w:r>
          </w:p>
        </w:tc>
        <w:tc>
          <w:tcPr>
            <w:tcW w:w="3189" w:type="dxa"/>
            <w:shd w:val="clear" w:color="auto" w:fill="FFFFFF" w:themeFill="background1"/>
            <w:vAlign w:val="center"/>
          </w:tcPr>
          <w:p w14:paraId="34FCEE52" w14:textId="77777777" w:rsidR="0088074E" w:rsidRPr="00564E59" w:rsidRDefault="0088074E" w:rsidP="00883DC0">
            <w:pPr>
              <w:jc w:val="center"/>
              <w:rPr>
                <w:color w:val="FFC000"/>
                <w:sz w:val="18"/>
                <w:szCs w:val="18"/>
              </w:rPr>
            </w:pPr>
          </w:p>
        </w:tc>
        <w:tc>
          <w:tcPr>
            <w:tcW w:w="2481" w:type="dxa"/>
            <w:shd w:val="clear" w:color="auto" w:fill="FFFFFF" w:themeFill="background1"/>
            <w:vAlign w:val="center"/>
          </w:tcPr>
          <w:p w14:paraId="664F9C2C" w14:textId="77777777" w:rsidR="0088074E" w:rsidRPr="00564E59" w:rsidRDefault="0088074E" w:rsidP="00883DC0">
            <w:pPr>
              <w:jc w:val="center"/>
              <w:rPr>
                <w:sz w:val="18"/>
                <w:szCs w:val="18"/>
              </w:rPr>
            </w:pPr>
            <w:r w:rsidRPr="00564E59">
              <w:rPr>
                <w:sz w:val="18"/>
                <w:szCs w:val="18"/>
              </w:rPr>
              <w:t>Policiers, secouristes, personnels pénitentiaires, personnels de piscine…</w:t>
            </w:r>
          </w:p>
        </w:tc>
      </w:tr>
      <w:tr w:rsidR="0088074E" w:rsidRPr="00AC213D" w14:paraId="4BD25E38" w14:textId="77777777" w:rsidTr="00564E59">
        <w:trPr>
          <w:jc w:val="center"/>
        </w:trPr>
        <w:tc>
          <w:tcPr>
            <w:tcW w:w="1839" w:type="dxa"/>
            <w:shd w:val="clear" w:color="auto" w:fill="D9D9D9" w:themeFill="background1" w:themeFillShade="D9"/>
          </w:tcPr>
          <w:p w14:paraId="58391991" w14:textId="77777777" w:rsidR="0088074E" w:rsidRPr="00E82CB0" w:rsidRDefault="0088074E" w:rsidP="0088074E">
            <w:pPr>
              <w:rPr>
                <w:b/>
                <w:sz w:val="20"/>
              </w:rPr>
            </w:pPr>
            <w:r w:rsidRPr="00E82CB0">
              <w:rPr>
                <w:b/>
                <w:sz w:val="20"/>
              </w:rPr>
              <w:t>Soins funéraires</w:t>
            </w:r>
          </w:p>
        </w:tc>
        <w:tc>
          <w:tcPr>
            <w:tcW w:w="3123" w:type="dxa"/>
            <w:shd w:val="clear" w:color="auto" w:fill="FFFFFF" w:themeFill="background1"/>
            <w:vAlign w:val="center"/>
          </w:tcPr>
          <w:p w14:paraId="2196AAA4" w14:textId="77777777" w:rsidR="0088074E" w:rsidRPr="00564E59" w:rsidRDefault="0088074E" w:rsidP="00883DC0">
            <w:pPr>
              <w:jc w:val="center"/>
              <w:rPr>
                <w:sz w:val="18"/>
                <w:szCs w:val="18"/>
              </w:rPr>
            </w:pPr>
            <w:r w:rsidRPr="00564E59">
              <w:rPr>
                <w:sz w:val="18"/>
                <w:szCs w:val="18"/>
              </w:rPr>
              <w:t>Soins mortuaires, thanatopracteur…</w:t>
            </w:r>
          </w:p>
        </w:tc>
        <w:tc>
          <w:tcPr>
            <w:tcW w:w="3189" w:type="dxa"/>
            <w:shd w:val="clear" w:color="auto" w:fill="FFFFFF" w:themeFill="background1"/>
            <w:vAlign w:val="center"/>
          </w:tcPr>
          <w:p w14:paraId="2C1D1CB0" w14:textId="77777777" w:rsidR="0088074E" w:rsidRPr="00564E59" w:rsidRDefault="0088074E" w:rsidP="00883DC0">
            <w:pPr>
              <w:jc w:val="center"/>
              <w:rPr>
                <w:color w:val="FFC000"/>
                <w:sz w:val="18"/>
                <w:szCs w:val="18"/>
              </w:rPr>
            </w:pPr>
          </w:p>
        </w:tc>
        <w:tc>
          <w:tcPr>
            <w:tcW w:w="2481" w:type="dxa"/>
            <w:shd w:val="clear" w:color="auto" w:fill="FFFFFF" w:themeFill="background1"/>
            <w:vAlign w:val="center"/>
          </w:tcPr>
          <w:p w14:paraId="73E24DDF" w14:textId="77777777" w:rsidR="0088074E" w:rsidRPr="00564E59" w:rsidRDefault="00B15F97" w:rsidP="00883DC0">
            <w:pPr>
              <w:jc w:val="center"/>
              <w:rPr>
                <w:sz w:val="18"/>
                <w:szCs w:val="18"/>
              </w:rPr>
            </w:pPr>
            <w:r w:rsidRPr="00564E59">
              <w:rPr>
                <w:sz w:val="18"/>
                <w:szCs w:val="18"/>
              </w:rPr>
              <w:t>Porteurs (pompes funèbres), …</w:t>
            </w:r>
          </w:p>
        </w:tc>
      </w:tr>
      <w:tr w:rsidR="0088074E" w:rsidRPr="00AC213D" w14:paraId="0BC90EC8" w14:textId="77777777" w:rsidTr="00564E59">
        <w:trPr>
          <w:jc w:val="center"/>
        </w:trPr>
        <w:tc>
          <w:tcPr>
            <w:tcW w:w="1839" w:type="dxa"/>
            <w:shd w:val="clear" w:color="auto" w:fill="D9D9D9" w:themeFill="background1" w:themeFillShade="D9"/>
          </w:tcPr>
          <w:p w14:paraId="60756E12" w14:textId="77777777" w:rsidR="0088074E" w:rsidRPr="00E82CB0" w:rsidRDefault="0088074E" w:rsidP="0088074E">
            <w:pPr>
              <w:rPr>
                <w:b/>
                <w:sz w:val="20"/>
              </w:rPr>
            </w:pPr>
            <w:r w:rsidRPr="00E82CB0">
              <w:rPr>
                <w:b/>
                <w:sz w:val="20"/>
              </w:rPr>
              <w:t>Esthétique</w:t>
            </w:r>
          </w:p>
        </w:tc>
        <w:tc>
          <w:tcPr>
            <w:tcW w:w="3123" w:type="dxa"/>
            <w:shd w:val="clear" w:color="auto" w:fill="FFFFFF" w:themeFill="background1"/>
            <w:vAlign w:val="center"/>
          </w:tcPr>
          <w:p w14:paraId="140C9FAE" w14:textId="77777777" w:rsidR="0088074E" w:rsidRPr="00564E59" w:rsidRDefault="0088074E" w:rsidP="00883DC0">
            <w:pPr>
              <w:jc w:val="center"/>
              <w:rPr>
                <w:sz w:val="18"/>
                <w:szCs w:val="18"/>
              </w:rPr>
            </w:pPr>
          </w:p>
        </w:tc>
        <w:tc>
          <w:tcPr>
            <w:tcW w:w="3189" w:type="dxa"/>
            <w:shd w:val="clear" w:color="auto" w:fill="FFFFFF" w:themeFill="background1"/>
            <w:vAlign w:val="center"/>
          </w:tcPr>
          <w:p w14:paraId="43568258" w14:textId="77777777" w:rsidR="0088074E" w:rsidRPr="00564E59" w:rsidRDefault="0088074E" w:rsidP="00883DC0">
            <w:pPr>
              <w:jc w:val="center"/>
              <w:rPr>
                <w:color w:val="FFC000"/>
                <w:sz w:val="18"/>
                <w:szCs w:val="18"/>
              </w:rPr>
            </w:pPr>
          </w:p>
        </w:tc>
        <w:tc>
          <w:tcPr>
            <w:tcW w:w="2481" w:type="dxa"/>
            <w:shd w:val="clear" w:color="auto" w:fill="FFFFFF" w:themeFill="background1"/>
            <w:vAlign w:val="center"/>
          </w:tcPr>
          <w:p w14:paraId="68D34348" w14:textId="77777777" w:rsidR="0088074E" w:rsidRPr="00564E59" w:rsidRDefault="0088074E" w:rsidP="00883DC0">
            <w:pPr>
              <w:jc w:val="center"/>
              <w:rPr>
                <w:sz w:val="18"/>
                <w:szCs w:val="18"/>
              </w:rPr>
            </w:pPr>
            <w:r w:rsidRPr="00564E59">
              <w:rPr>
                <w:sz w:val="18"/>
                <w:szCs w:val="18"/>
              </w:rPr>
              <w:t>Esthéticiennes, pédicures, coiffeuses…</w:t>
            </w:r>
          </w:p>
        </w:tc>
      </w:tr>
      <w:tr w:rsidR="0088074E" w:rsidRPr="00AC213D" w14:paraId="60869661" w14:textId="77777777" w:rsidTr="00564E59">
        <w:trPr>
          <w:jc w:val="center"/>
        </w:trPr>
        <w:tc>
          <w:tcPr>
            <w:tcW w:w="1839" w:type="dxa"/>
            <w:shd w:val="clear" w:color="auto" w:fill="D9D9D9" w:themeFill="background1" w:themeFillShade="D9"/>
          </w:tcPr>
          <w:p w14:paraId="3B48B82B" w14:textId="77777777" w:rsidR="0088074E" w:rsidRPr="00E82CB0" w:rsidRDefault="0088074E" w:rsidP="0088074E">
            <w:pPr>
              <w:rPr>
                <w:b/>
                <w:sz w:val="20"/>
              </w:rPr>
            </w:pPr>
            <w:r w:rsidRPr="00E82CB0">
              <w:rPr>
                <w:b/>
                <w:sz w:val="20"/>
              </w:rPr>
              <w:t>Laboratoires</w:t>
            </w:r>
          </w:p>
        </w:tc>
        <w:tc>
          <w:tcPr>
            <w:tcW w:w="3123" w:type="dxa"/>
            <w:shd w:val="clear" w:color="auto" w:fill="FFFFFF" w:themeFill="background1"/>
            <w:vAlign w:val="center"/>
          </w:tcPr>
          <w:p w14:paraId="6FCE1539" w14:textId="77777777" w:rsidR="0088074E" w:rsidRPr="00564E59" w:rsidRDefault="0088074E" w:rsidP="00883DC0">
            <w:pPr>
              <w:jc w:val="center"/>
              <w:rPr>
                <w:sz w:val="18"/>
                <w:szCs w:val="18"/>
              </w:rPr>
            </w:pPr>
            <w:r w:rsidRPr="00564E59">
              <w:rPr>
                <w:sz w:val="18"/>
                <w:szCs w:val="18"/>
              </w:rPr>
              <w:t>Les techniciens de laboratoires d’analyses médicales</w:t>
            </w:r>
            <w:r w:rsidR="00E82CB0" w:rsidRPr="00564E59">
              <w:rPr>
                <w:sz w:val="18"/>
                <w:szCs w:val="18"/>
              </w:rPr>
              <w:t>,</w:t>
            </w:r>
            <w:r w:rsidRPr="00564E59">
              <w:rPr>
                <w:sz w:val="18"/>
                <w:szCs w:val="18"/>
              </w:rPr>
              <w:t xml:space="preserve"> de recherche…</w:t>
            </w:r>
          </w:p>
        </w:tc>
        <w:tc>
          <w:tcPr>
            <w:tcW w:w="3189" w:type="dxa"/>
            <w:shd w:val="clear" w:color="auto" w:fill="FFFFFF" w:themeFill="background1"/>
            <w:vAlign w:val="center"/>
          </w:tcPr>
          <w:p w14:paraId="5011101C" w14:textId="77777777" w:rsidR="0088074E" w:rsidRPr="00564E59" w:rsidRDefault="0088074E" w:rsidP="00883DC0">
            <w:pPr>
              <w:jc w:val="center"/>
              <w:rPr>
                <w:color w:val="FFC000"/>
                <w:sz w:val="18"/>
                <w:szCs w:val="18"/>
              </w:rPr>
            </w:pPr>
          </w:p>
        </w:tc>
        <w:tc>
          <w:tcPr>
            <w:tcW w:w="2481" w:type="dxa"/>
            <w:shd w:val="clear" w:color="auto" w:fill="FFFFFF" w:themeFill="background1"/>
            <w:vAlign w:val="center"/>
          </w:tcPr>
          <w:p w14:paraId="39A3EB4C" w14:textId="77777777" w:rsidR="0088074E" w:rsidRPr="00564E59" w:rsidRDefault="0088074E" w:rsidP="00883DC0">
            <w:pPr>
              <w:jc w:val="center"/>
              <w:rPr>
                <w:sz w:val="18"/>
                <w:szCs w:val="18"/>
              </w:rPr>
            </w:pPr>
          </w:p>
        </w:tc>
      </w:tr>
      <w:tr w:rsidR="00D15644" w:rsidRPr="00AC213D" w14:paraId="35AE140C" w14:textId="77777777" w:rsidTr="00564E59">
        <w:trPr>
          <w:jc w:val="center"/>
        </w:trPr>
        <w:tc>
          <w:tcPr>
            <w:tcW w:w="1839" w:type="dxa"/>
            <w:shd w:val="clear" w:color="auto" w:fill="D9D9D9" w:themeFill="background1" w:themeFillShade="D9"/>
          </w:tcPr>
          <w:p w14:paraId="2643E3ED" w14:textId="77777777" w:rsidR="00D15644" w:rsidRPr="00E82CB0" w:rsidRDefault="00D15644" w:rsidP="00D15644">
            <w:pPr>
              <w:rPr>
                <w:b/>
                <w:sz w:val="20"/>
              </w:rPr>
            </w:pPr>
            <w:r w:rsidRPr="00E82CB0">
              <w:rPr>
                <w:b/>
                <w:sz w:val="20"/>
              </w:rPr>
              <w:t>Déchets</w:t>
            </w:r>
          </w:p>
        </w:tc>
        <w:tc>
          <w:tcPr>
            <w:tcW w:w="3123" w:type="dxa"/>
            <w:shd w:val="clear" w:color="auto" w:fill="FFFFFF" w:themeFill="background1"/>
            <w:vAlign w:val="center"/>
          </w:tcPr>
          <w:p w14:paraId="158BC907" w14:textId="77777777" w:rsidR="00D15644" w:rsidRPr="00564E59" w:rsidRDefault="00D15644" w:rsidP="00883DC0">
            <w:pPr>
              <w:jc w:val="center"/>
              <w:rPr>
                <w:color w:val="FF0000"/>
                <w:sz w:val="18"/>
                <w:szCs w:val="18"/>
              </w:rPr>
            </w:pPr>
          </w:p>
        </w:tc>
        <w:tc>
          <w:tcPr>
            <w:tcW w:w="3189" w:type="dxa"/>
            <w:shd w:val="clear" w:color="auto" w:fill="FFFFFF" w:themeFill="background1"/>
            <w:vAlign w:val="center"/>
          </w:tcPr>
          <w:p w14:paraId="2EABC16C" w14:textId="77777777" w:rsidR="00D15644" w:rsidRPr="00564E59" w:rsidRDefault="00D15644" w:rsidP="00883DC0">
            <w:pPr>
              <w:jc w:val="center"/>
              <w:rPr>
                <w:sz w:val="18"/>
                <w:szCs w:val="18"/>
              </w:rPr>
            </w:pPr>
            <w:r w:rsidRPr="00564E59">
              <w:rPr>
                <w:sz w:val="18"/>
                <w:szCs w:val="18"/>
              </w:rPr>
              <w:t>Collectes et traitements des ordures ménagères et des déchets médicaux…</w:t>
            </w:r>
          </w:p>
        </w:tc>
        <w:tc>
          <w:tcPr>
            <w:tcW w:w="2481" w:type="dxa"/>
            <w:shd w:val="clear" w:color="auto" w:fill="FFFFFF" w:themeFill="background1"/>
            <w:vAlign w:val="center"/>
          </w:tcPr>
          <w:p w14:paraId="0E2828B3" w14:textId="77777777" w:rsidR="00D15644" w:rsidRPr="00564E59" w:rsidRDefault="00D15644" w:rsidP="00883DC0">
            <w:pPr>
              <w:jc w:val="center"/>
              <w:rPr>
                <w:sz w:val="18"/>
                <w:szCs w:val="18"/>
              </w:rPr>
            </w:pPr>
          </w:p>
        </w:tc>
      </w:tr>
      <w:tr w:rsidR="00D15644" w:rsidRPr="00AC213D" w14:paraId="5AA9DF65" w14:textId="77777777" w:rsidTr="00564E59">
        <w:trPr>
          <w:jc w:val="center"/>
        </w:trPr>
        <w:tc>
          <w:tcPr>
            <w:tcW w:w="1839" w:type="dxa"/>
            <w:shd w:val="clear" w:color="auto" w:fill="D9D9D9" w:themeFill="background1" w:themeFillShade="D9"/>
          </w:tcPr>
          <w:p w14:paraId="7243F2F6" w14:textId="77777777" w:rsidR="00D15644" w:rsidRPr="00E82CB0" w:rsidRDefault="00D15644" w:rsidP="00D15644">
            <w:pPr>
              <w:rPr>
                <w:b/>
                <w:sz w:val="20"/>
              </w:rPr>
            </w:pPr>
            <w:r w:rsidRPr="00E82CB0">
              <w:rPr>
                <w:b/>
                <w:sz w:val="20"/>
              </w:rPr>
              <w:t>Animaux, agro-alimentaire</w:t>
            </w:r>
          </w:p>
        </w:tc>
        <w:tc>
          <w:tcPr>
            <w:tcW w:w="3123" w:type="dxa"/>
            <w:shd w:val="clear" w:color="auto" w:fill="FFFFFF" w:themeFill="background1"/>
            <w:vAlign w:val="center"/>
          </w:tcPr>
          <w:p w14:paraId="4449841E" w14:textId="77777777" w:rsidR="00D15644" w:rsidRPr="00564E59" w:rsidRDefault="00A4257F" w:rsidP="00883DC0">
            <w:pPr>
              <w:jc w:val="center"/>
              <w:rPr>
                <w:sz w:val="18"/>
                <w:szCs w:val="18"/>
              </w:rPr>
            </w:pPr>
            <w:r w:rsidRPr="00564E59">
              <w:rPr>
                <w:sz w:val="18"/>
                <w:szCs w:val="18"/>
              </w:rPr>
              <w:t>Vétérinaires (rage)</w:t>
            </w:r>
          </w:p>
          <w:p w14:paraId="33CCC912" w14:textId="4296F259" w:rsidR="0073017C" w:rsidRPr="00564E59" w:rsidRDefault="0073017C" w:rsidP="00883DC0">
            <w:pPr>
              <w:jc w:val="center"/>
              <w:rPr>
                <w:sz w:val="18"/>
                <w:szCs w:val="18"/>
              </w:rPr>
            </w:pPr>
          </w:p>
        </w:tc>
        <w:tc>
          <w:tcPr>
            <w:tcW w:w="3189" w:type="dxa"/>
            <w:shd w:val="clear" w:color="auto" w:fill="FFFFFF" w:themeFill="background1"/>
            <w:vAlign w:val="center"/>
          </w:tcPr>
          <w:p w14:paraId="1CB1497F" w14:textId="77777777" w:rsidR="00D15644" w:rsidRPr="00564E59" w:rsidRDefault="00D15644" w:rsidP="00883DC0">
            <w:pPr>
              <w:jc w:val="center"/>
              <w:rPr>
                <w:sz w:val="18"/>
                <w:szCs w:val="18"/>
              </w:rPr>
            </w:pPr>
            <w:r w:rsidRPr="00564E59">
              <w:rPr>
                <w:sz w:val="18"/>
                <w:szCs w:val="18"/>
              </w:rPr>
              <w:t>Dératiseurs</w:t>
            </w:r>
            <w:r w:rsidR="00634169" w:rsidRPr="00564E59">
              <w:rPr>
                <w:sz w:val="18"/>
                <w:szCs w:val="18"/>
              </w:rPr>
              <w:t>, techniciens de laboratoire d’analyses</w:t>
            </w:r>
            <w:r w:rsidR="004F2FB3" w:rsidRPr="00564E59">
              <w:rPr>
                <w:sz w:val="18"/>
                <w:szCs w:val="18"/>
              </w:rPr>
              <w:t>, contacts avec des dépouilles animales, de la viande, lait et poisson…</w:t>
            </w:r>
          </w:p>
          <w:p w14:paraId="524A7B33" w14:textId="24236AE7" w:rsidR="00680D61" w:rsidRPr="00564E59" w:rsidRDefault="00680D61" w:rsidP="00883DC0">
            <w:pPr>
              <w:jc w:val="center"/>
              <w:rPr>
                <w:sz w:val="18"/>
                <w:szCs w:val="18"/>
              </w:rPr>
            </w:pPr>
            <w:r w:rsidRPr="00564E59">
              <w:rPr>
                <w:sz w:val="18"/>
                <w:szCs w:val="18"/>
              </w:rPr>
              <w:t>Travail en animaleries, centres de toilettage.</w:t>
            </w:r>
          </w:p>
        </w:tc>
        <w:tc>
          <w:tcPr>
            <w:tcW w:w="2481" w:type="dxa"/>
            <w:shd w:val="clear" w:color="auto" w:fill="FFFFFF" w:themeFill="background1"/>
            <w:vAlign w:val="center"/>
          </w:tcPr>
          <w:p w14:paraId="0E652E32" w14:textId="01A6759E" w:rsidR="00D15644" w:rsidRPr="00564E59" w:rsidRDefault="00951C4B" w:rsidP="00883DC0">
            <w:pPr>
              <w:jc w:val="center"/>
              <w:rPr>
                <w:sz w:val="18"/>
                <w:szCs w:val="18"/>
              </w:rPr>
            </w:pPr>
            <w:r w:rsidRPr="00564E59">
              <w:rPr>
                <w:sz w:val="18"/>
                <w:szCs w:val="18"/>
              </w:rPr>
              <w:t>Taxidermistes</w:t>
            </w:r>
            <w:r w:rsidR="00D15644" w:rsidRPr="00564E59">
              <w:rPr>
                <w:sz w:val="18"/>
                <w:szCs w:val="18"/>
              </w:rPr>
              <w:t xml:space="preserve">, </w:t>
            </w:r>
            <w:r w:rsidR="004F2FB3" w:rsidRPr="00564E59">
              <w:rPr>
                <w:sz w:val="18"/>
                <w:szCs w:val="18"/>
              </w:rPr>
              <w:t>agents de maintenance</w:t>
            </w:r>
          </w:p>
        </w:tc>
      </w:tr>
      <w:tr w:rsidR="00D15644" w:rsidRPr="00AC213D" w14:paraId="0C4B1821" w14:textId="77777777" w:rsidTr="00564E59">
        <w:trPr>
          <w:jc w:val="center"/>
        </w:trPr>
        <w:tc>
          <w:tcPr>
            <w:tcW w:w="1839" w:type="dxa"/>
            <w:shd w:val="clear" w:color="auto" w:fill="D9D9D9" w:themeFill="background1" w:themeFillShade="D9"/>
          </w:tcPr>
          <w:p w14:paraId="41EC1E7A" w14:textId="77777777" w:rsidR="00D15644" w:rsidRPr="00893CCA" w:rsidRDefault="00D15644" w:rsidP="00D15644">
            <w:pPr>
              <w:rPr>
                <w:b/>
                <w:sz w:val="20"/>
              </w:rPr>
            </w:pPr>
            <w:r w:rsidRPr="00893CCA">
              <w:rPr>
                <w:b/>
                <w:sz w:val="20"/>
              </w:rPr>
              <w:t>Travail en extérieur</w:t>
            </w:r>
          </w:p>
        </w:tc>
        <w:tc>
          <w:tcPr>
            <w:tcW w:w="3123" w:type="dxa"/>
            <w:shd w:val="clear" w:color="auto" w:fill="FFFFFF" w:themeFill="background1"/>
            <w:vAlign w:val="center"/>
          </w:tcPr>
          <w:p w14:paraId="1A5A00AB" w14:textId="1B28E0AA" w:rsidR="00D15644" w:rsidRPr="00564E59" w:rsidRDefault="00D15644" w:rsidP="00883DC0">
            <w:pPr>
              <w:jc w:val="center"/>
              <w:rPr>
                <w:sz w:val="18"/>
                <w:szCs w:val="18"/>
              </w:rPr>
            </w:pPr>
          </w:p>
        </w:tc>
        <w:tc>
          <w:tcPr>
            <w:tcW w:w="3189" w:type="dxa"/>
            <w:shd w:val="clear" w:color="auto" w:fill="FFFFFF" w:themeFill="background1"/>
            <w:vAlign w:val="center"/>
          </w:tcPr>
          <w:p w14:paraId="09D86B81" w14:textId="30A053CB" w:rsidR="00D15644" w:rsidRPr="00564E59" w:rsidRDefault="004F2FB3" w:rsidP="00883DC0">
            <w:pPr>
              <w:jc w:val="center"/>
              <w:rPr>
                <w:bCs/>
                <w:sz w:val="18"/>
                <w:szCs w:val="18"/>
              </w:rPr>
            </w:pPr>
            <w:r w:rsidRPr="00564E59">
              <w:rPr>
                <w:bCs/>
                <w:sz w:val="18"/>
                <w:szCs w:val="18"/>
              </w:rPr>
              <w:t>Exposition Leptospirose : Travail dans les égouts, au contact d’eaux stagnantes ou usées</w:t>
            </w:r>
          </w:p>
        </w:tc>
        <w:tc>
          <w:tcPr>
            <w:tcW w:w="2481" w:type="dxa"/>
            <w:shd w:val="clear" w:color="auto" w:fill="FFFFFF" w:themeFill="background1"/>
            <w:vAlign w:val="center"/>
          </w:tcPr>
          <w:p w14:paraId="4EA0DD00" w14:textId="3F3A0A42" w:rsidR="00A4257F" w:rsidRPr="00564E59" w:rsidRDefault="00A67E28" w:rsidP="00883DC0">
            <w:pPr>
              <w:jc w:val="center"/>
              <w:rPr>
                <w:sz w:val="18"/>
                <w:szCs w:val="18"/>
              </w:rPr>
            </w:pPr>
            <w:r w:rsidRPr="00564E59">
              <w:rPr>
                <w:sz w:val="18"/>
                <w:szCs w:val="18"/>
              </w:rPr>
              <w:t>Travail en forêt, jardiniers, travail dans les mines</w:t>
            </w:r>
            <w:r w:rsidR="00D84FFE" w:rsidRPr="00564E59">
              <w:rPr>
                <w:sz w:val="18"/>
                <w:szCs w:val="18"/>
              </w:rPr>
              <w:t xml:space="preserve">, </w:t>
            </w:r>
            <w:r w:rsidRPr="00564E59">
              <w:rPr>
                <w:sz w:val="18"/>
                <w:szCs w:val="18"/>
              </w:rPr>
              <w:t>…</w:t>
            </w:r>
          </w:p>
        </w:tc>
      </w:tr>
      <w:tr w:rsidR="00E82CB0" w:rsidRPr="00AC213D" w14:paraId="188BB88D" w14:textId="77777777" w:rsidTr="00564E59">
        <w:trPr>
          <w:jc w:val="center"/>
        </w:trPr>
        <w:tc>
          <w:tcPr>
            <w:tcW w:w="1839" w:type="dxa"/>
            <w:shd w:val="clear" w:color="auto" w:fill="00B0F0"/>
          </w:tcPr>
          <w:p w14:paraId="37E95646" w14:textId="3800F860" w:rsidR="00E82CB0" w:rsidRPr="00893CCA" w:rsidRDefault="00E82CB0" w:rsidP="00D15644">
            <w:pPr>
              <w:rPr>
                <w:b/>
                <w:sz w:val="20"/>
              </w:rPr>
            </w:pPr>
            <w:r w:rsidRPr="00893CCA">
              <w:rPr>
                <w:b/>
                <w:sz w:val="20"/>
              </w:rPr>
              <w:t>Suivi Santé</w:t>
            </w:r>
            <w:r w:rsidR="00883DC0">
              <w:rPr>
                <w:b/>
                <w:sz w:val="20"/>
              </w:rPr>
              <w:t xml:space="preserve"> avant protocole expérimental</w:t>
            </w:r>
          </w:p>
        </w:tc>
        <w:tc>
          <w:tcPr>
            <w:tcW w:w="3123" w:type="dxa"/>
            <w:shd w:val="clear" w:color="auto" w:fill="FF0000"/>
            <w:vAlign w:val="center"/>
          </w:tcPr>
          <w:p w14:paraId="0D9F7C52" w14:textId="7AA9C0B4" w:rsidR="00E82CB0" w:rsidRPr="0079137A" w:rsidRDefault="002E64A7" w:rsidP="00883DC0">
            <w:pPr>
              <w:jc w:val="center"/>
              <w:rPr>
                <w:b/>
                <w:color w:val="FFFFFF" w:themeColor="background1"/>
                <w:sz w:val="20"/>
              </w:rPr>
            </w:pPr>
            <w:r>
              <w:rPr>
                <w:b/>
                <w:color w:val="FFFFFF" w:themeColor="background1"/>
                <w:sz w:val="20"/>
              </w:rPr>
              <w:t>EMA</w:t>
            </w:r>
            <w:r w:rsidR="00E82CB0" w:rsidRPr="0079137A">
              <w:rPr>
                <w:b/>
                <w:color w:val="FFFFFF" w:themeColor="background1"/>
                <w:sz w:val="20"/>
              </w:rPr>
              <w:t xml:space="preserve"> avant l’</w:t>
            </w:r>
            <w:r w:rsidR="00BF623A">
              <w:rPr>
                <w:b/>
                <w:color w:val="FFFFFF" w:themeColor="background1"/>
                <w:sz w:val="20"/>
              </w:rPr>
              <w:t>affectation au poste</w:t>
            </w:r>
          </w:p>
          <w:p w14:paraId="3A7114CE" w14:textId="6E2559B0" w:rsidR="00E82CB0" w:rsidRPr="00E82CB0" w:rsidRDefault="00E82CB0" w:rsidP="00883DC0">
            <w:pPr>
              <w:jc w:val="center"/>
              <w:rPr>
                <w:b/>
                <w:color w:val="FF0000"/>
                <w:sz w:val="20"/>
              </w:rPr>
            </w:pPr>
            <w:r w:rsidRPr="0079137A">
              <w:rPr>
                <w:b/>
                <w:color w:val="FFFFFF" w:themeColor="background1"/>
                <w:sz w:val="20"/>
              </w:rPr>
              <w:t xml:space="preserve">Alternance VI et </w:t>
            </w:r>
            <w:r w:rsidR="002E64A7">
              <w:rPr>
                <w:b/>
                <w:color w:val="FFFFFF" w:themeColor="background1"/>
                <w:sz w:val="20"/>
              </w:rPr>
              <w:t>EMA</w:t>
            </w:r>
            <w:r w:rsidRPr="0079137A">
              <w:rPr>
                <w:b/>
                <w:color w:val="FFFFFF" w:themeColor="background1"/>
                <w:sz w:val="20"/>
              </w:rPr>
              <w:t xml:space="preserve"> tous les 2 ans</w:t>
            </w:r>
          </w:p>
        </w:tc>
        <w:tc>
          <w:tcPr>
            <w:tcW w:w="3189" w:type="dxa"/>
            <w:shd w:val="clear" w:color="auto" w:fill="FFC000"/>
            <w:vAlign w:val="center"/>
          </w:tcPr>
          <w:p w14:paraId="1F37F376" w14:textId="5F68B506" w:rsidR="00E82CB0" w:rsidRPr="0079137A" w:rsidRDefault="00E82CB0" w:rsidP="00883DC0">
            <w:pPr>
              <w:jc w:val="center"/>
              <w:rPr>
                <w:b/>
                <w:sz w:val="20"/>
              </w:rPr>
            </w:pPr>
            <w:r w:rsidRPr="0079137A">
              <w:rPr>
                <w:b/>
                <w:sz w:val="20"/>
              </w:rPr>
              <w:t>VIP</w:t>
            </w:r>
            <w:r w:rsidR="00D05D7B">
              <w:rPr>
                <w:b/>
                <w:sz w:val="20"/>
              </w:rPr>
              <w:t xml:space="preserve"> initiale</w:t>
            </w:r>
            <w:r w:rsidRPr="0079137A">
              <w:rPr>
                <w:b/>
                <w:sz w:val="20"/>
              </w:rPr>
              <w:t xml:space="preserve"> a</w:t>
            </w:r>
            <w:r w:rsidR="00BF623A">
              <w:rPr>
                <w:b/>
                <w:sz w:val="20"/>
              </w:rPr>
              <w:t>vant</w:t>
            </w:r>
            <w:r w:rsidRPr="0079137A">
              <w:rPr>
                <w:b/>
                <w:sz w:val="20"/>
              </w:rPr>
              <w:t xml:space="preserve"> l’</w:t>
            </w:r>
            <w:r w:rsidR="00BF623A">
              <w:rPr>
                <w:b/>
                <w:sz w:val="20"/>
              </w:rPr>
              <w:t>affectation</w:t>
            </w:r>
          </w:p>
          <w:p w14:paraId="4083BA6D" w14:textId="5F301D6E" w:rsidR="00E82CB0" w:rsidRPr="00E82CB0" w:rsidRDefault="00E82CB0" w:rsidP="00883DC0">
            <w:pPr>
              <w:jc w:val="center"/>
              <w:rPr>
                <w:b/>
                <w:color w:val="FF0000"/>
                <w:sz w:val="20"/>
              </w:rPr>
            </w:pPr>
            <w:r w:rsidRPr="0079137A">
              <w:rPr>
                <w:b/>
                <w:sz w:val="20"/>
              </w:rPr>
              <w:t xml:space="preserve">VIP tous les </w:t>
            </w:r>
            <w:r w:rsidR="004F2FB3">
              <w:rPr>
                <w:b/>
                <w:sz w:val="20"/>
              </w:rPr>
              <w:t>5</w:t>
            </w:r>
            <w:r w:rsidRPr="0079137A">
              <w:rPr>
                <w:b/>
                <w:sz w:val="20"/>
              </w:rPr>
              <w:t xml:space="preserve"> ans</w:t>
            </w:r>
          </w:p>
        </w:tc>
        <w:tc>
          <w:tcPr>
            <w:tcW w:w="2481" w:type="dxa"/>
            <w:shd w:val="clear" w:color="auto" w:fill="00B050"/>
            <w:vAlign w:val="center"/>
          </w:tcPr>
          <w:p w14:paraId="1893C928" w14:textId="46B003BF" w:rsidR="00E82CB0" w:rsidRPr="00BF623A" w:rsidRDefault="00D05D7B" w:rsidP="00883DC0">
            <w:pPr>
              <w:jc w:val="center"/>
              <w:rPr>
                <w:b/>
                <w:sz w:val="18"/>
                <w:szCs w:val="20"/>
              </w:rPr>
            </w:pPr>
            <w:r>
              <w:rPr>
                <w:b/>
                <w:sz w:val="18"/>
                <w:szCs w:val="20"/>
              </w:rPr>
              <w:t>VIP initiale</w:t>
            </w:r>
            <w:r w:rsidR="00E82CB0" w:rsidRPr="00BF623A">
              <w:rPr>
                <w:b/>
                <w:sz w:val="18"/>
                <w:szCs w:val="20"/>
              </w:rPr>
              <w:t xml:space="preserve"> </w:t>
            </w:r>
            <w:r w:rsidR="00BF623A" w:rsidRPr="00BF623A">
              <w:rPr>
                <w:b/>
                <w:sz w:val="18"/>
                <w:szCs w:val="20"/>
              </w:rPr>
              <w:t>dans les 3 mois suivant l’affectation</w:t>
            </w:r>
          </w:p>
          <w:p w14:paraId="7898CA09" w14:textId="1845534B" w:rsidR="00680D61" w:rsidRPr="00883DC0" w:rsidRDefault="00E82CB0" w:rsidP="00883DC0">
            <w:pPr>
              <w:jc w:val="center"/>
              <w:rPr>
                <w:b/>
                <w:sz w:val="20"/>
              </w:rPr>
            </w:pPr>
            <w:r w:rsidRPr="0079137A">
              <w:rPr>
                <w:b/>
                <w:sz w:val="20"/>
              </w:rPr>
              <w:t>VIP tous les 5 ans</w:t>
            </w:r>
          </w:p>
        </w:tc>
      </w:tr>
    </w:tbl>
    <w:p w14:paraId="4333C7AC" w14:textId="5667370F" w:rsidR="002363A3" w:rsidRPr="00EA459D" w:rsidRDefault="006152AE" w:rsidP="00EA459D">
      <w:pPr>
        <w:pStyle w:val="Paragraphedeliste"/>
        <w:numPr>
          <w:ilvl w:val="0"/>
          <w:numId w:val="1"/>
        </w:numPr>
        <w:rPr>
          <w:i/>
          <w:sz w:val="36"/>
          <w:szCs w:val="20"/>
          <w:u w:val="single"/>
        </w:rPr>
      </w:pPr>
      <w:r>
        <w:rPr>
          <w:i/>
          <w:sz w:val="36"/>
          <w:szCs w:val="20"/>
          <w:u w:val="single"/>
        </w:rPr>
        <w:lastRenderedPageBreak/>
        <w:t>M</w:t>
      </w:r>
      <w:r w:rsidR="004F2FB3">
        <w:rPr>
          <w:i/>
          <w:sz w:val="36"/>
          <w:szCs w:val="20"/>
          <w:u w:val="single"/>
        </w:rPr>
        <w:t>odes</w:t>
      </w:r>
      <w:r>
        <w:rPr>
          <w:i/>
          <w:sz w:val="36"/>
          <w:szCs w:val="20"/>
          <w:u w:val="single"/>
        </w:rPr>
        <w:t xml:space="preserve"> de transmission</w:t>
      </w:r>
    </w:p>
    <w:p w14:paraId="347FF225" w14:textId="77777777" w:rsidR="00755267" w:rsidRPr="00AC213D" w:rsidRDefault="00755267" w:rsidP="0026749F">
      <w:pPr>
        <w:pStyle w:val="Paragraphedeliste"/>
        <w:numPr>
          <w:ilvl w:val="0"/>
          <w:numId w:val="3"/>
        </w:numPr>
        <w:spacing w:after="0" w:line="240" w:lineRule="auto"/>
        <w:ind w:left="714" w:hanging="357"/>
      </w:pPr>
      <w:r w:rsidRPr="00AC213D">
        <w:t>Inhalation</w:t>
      </w:r>
    </w:p>
    <w:p w14:paraId="2B79350F" w14:textId="77777777" w:rsidR="00755267" w:rsidRPr="00AC213D" w:rsidRDefault="00E57574" w:rsidP="0026749F">
      <w:pPr>
        <w:pStyle w:val="Paragraphedeliste"/>
        <w:numPr>
          <w:ilvl w:val="0"/>
          <w:numId w:val="3"/>
        </w:numPr>
        <w:spacing w:after="0" w:line="240" w:lineRule="auto"/>
        <w:ind w:left="714" w:hanging="357"/>
      </w:pPr>
      <w:r w:rsidRPr="00AC213D">
        <w:t xml:space="preserve">Blessure, </w:t>
      </w:r>
      <w:r w:rsidR="00755267" w:rsidRPr="00AC213D">
        <w:t>piqûre d’aiguille, morsure</w:t>
      </w:r>
      <w:r w:rsidRPr="00AC213D">
        <w:t>, coupure</w:t>
      </w:r>
      <w:r w:rsidR="00755267" w:rsidRPr="00AC213D">
        <w:t>…</w:t>
      </w:r>
    </w:p>
    <w:p w14:paraId="63F53C17" w14:textId="43917E16" w:rsidR="00F405A2" w:rsidRDefault="00755267" w:rsidP="0026749F">
      <w:pPr>
        <w:pStyle w:val="Paragraphedeliste"/>
        <w:numPr>
          <w:ilvl w:val="0"/>
          <w:numId w:val="3"/>
        </w:numPr>
        <w:spacing w:after="0" w:line="240" w:lineRule="auto"/>
        <w:ind w:left="714" w:hanging="357"/>
      </w:pPr>
      <w:r w:rsidRPr="00AC213D">
        <w:t>Projection cutanée ou oculaire</w:t>
      </w:r>
    </w:p>
    <w:p w14:paraId="520F2EAC" w14:textId="3A156652" w:rsidR="00755267" w:rsidRDefault="0012547C" w:rsidP="0026749F">
      <w:pPr>
        <w:pStyle w:val="Paragraphedeliste"/>
        <w:numPr>
          <w:ilvl w:val="0"/>
          <w:numId w:val="3"/>
        </w:numPr>
        <w:spacing w:after="0" w:line="240" w:lineRule="auto"/>
        <w:ind w:left="714" w:hanging="357"/>
      </w:pPr>
      <w:r w:rsidRPr="00AC213D">
        <w:t>Contact cutané (parasites, champignons)</w:t>
      </w:r>
    </w:p>
    <w:p w14:paraId="62032A82" w14:textId="43B09650" w:rsidR="000047EF" w:rsidRDefault="000047EF" w:rsidP="000047EF">
      <w:pPr>
        <w:pStyle w:val="Paragraphedeliste"/>
        <w:rPr>
          <w:sz w:val="16"/>
          <w:szCs w:val="16"/>
        </w:rPr>
      </w:pPr>
    </w:p>
    <w:p w14:paraId="451F9038" w14:textId="37A8D99D" w:rsidR="002363A3" w:rsidRPr="00AC213D" w:rsidRDefault="00DB5930" w:rsidP="00DB5930">
      <w:pPr>
        <w:pStyle w:val="Paragraphedeliste"/>
        <w:numPr>
          <w:ilvl w:val="0"/>
          <w:numId w:val="1"/>
        </w:numPr>
        <w:rPr>
          <w:i/>
          <w:sz w:val="36"/>
          <w:szCs w:val="20"/>
          <w:u w:val="single"/>
        </w:rPr>
      </w:pPr>
      <w:r>
        <w:rPr>
          <w:i/>
          <w:sz w:val="36"/>
          <w:szCs w:val="20"/>
          <w:u w:val="single"/>
        </w:rPr>
        <w:t>Prévention</w:t>
      </w:r>
    </w:p>
    <w:p w14:paraId="66EC7B39" w14:textId="77777777" w:rsidR="008D02A6" w:rsidRPr="00BA07FD" w:rsidRDefault="008D02A6" w:rsidP="002363A3">
      <w:pPr>
        <w:pStyle w:val="Paragraphedeliste"/>
        <w:ind w:left="0"/>
        <w:rPr>
          <w:sz w:val="20"/>
          <w:szCs w:val="20"/>
        </w:rPr>
      </w:pPr>
    </w:p>
    <w:p w14:paraId="19403378" w14:textId="77777777" w:rsidR="008D02A6" w:rsidRPr="005D2380" w:rsidRDefault="008D02A6" w:rsidP="005D2380">
      <w:pPr>
        <w:pStyle w:val="Paragraphedeliste"/>
        <w:numPr>
          <w:ilvl w:val="0"/>
          <w:numId w:val="2"/>
        </w:numPr>
        <w:jc w:val="both"/>
        <w:rPr>
          <w:b/>
          <w:i/>
          <w:sz w:val="24"/>
          <w:szCs w:val="24"/>
          <w:u w:val="single"/>
        </w:rPr>
      </w:pPr>
      <w:r w:rsidRPr="005D2380">
        <w:rPr>
          <w:b/>
          <w:sz w:val="24"/>
          <w:szCs w:val="24"/>
          <w:u w:val="single"/>
        </w:rPr>
        <w:t>Vaccinations obligatoires</w:t>
      </w:r>
      <w:r w:rsidR="002215A3" w:rsidRPr="005D2380">
        <w:rPr>
          <w:b/>
          <w:i/>
          <w:sz w:val="24"/>
          <w:szCs w:val="24"/>
          <w:u w:val="single"/>
        </w:rPr>
        <w:t xml:space="preserve"> (</w:t>
      </w:r>
      <w:r w:rsidR="002215A3" w:rsidRPr="005D2380">
        <w:rPr>
          <w:b/>
          <w:i/>
          <w:sz w:val="20"/>
          <w:szCs w:val="24"/>
          <w:u w:val="single"/>
        </w:rPr>
        <w:t xml:space="preserve">selon le calendrier des vaccinations et recommandations vaccinales </w:t>
      </w:r>
      <w:r w:rsidR="00FB63C3" w:rsidRPr="005D2380">
        <w:rPr>
          <w:b/>
          <w:i/>
          <w:sz w:val="20"/>
          <w:szCs w:val="24"/>
          <w:u w:val="single"/>
        </w:rPr>
        <w:t xml:space="preserve">du Ministère de la Santé </w:t>
      </w:r>
      <w:r w:rsidR="002215A3" w:rsidRPr="005D2380">
        <w:rPr>
          <w:b/>
          <w:i/>
          <w:sz w:val="20"/>
          <w:szCs w:val="24"/>
          <w:u w:val="single"/>
        </w:rPr>
        <w:t>en cours de validité</w:t>
      </w:r>
      <w:r w:rsidR="002215A3" w:rsidRPr="005D2380">
        <w:rPr>
          <w:b/>
          <w:i/>
          <w:sz w:val="24"/>
          <w:szCs w:val="24"/>
          <w:u w:val="single"/>
        </w:rPr>
        <w:t>)</w:t>
      </w:r>
    </w:p>
    <w:tbl>
      <w:tblPr>
        <w:tblStyle w:val="Grilledutableau"/>
        <w:tblW w:w="10490" w:type="dxa"/>
        <w:tblInd w:w="-572" w:type="dxa"/>
        <w:tblLook w:val="04A0" w:firstRow="1" w:lastRow="0" w:firstColumn="1" w:lastColumn="0" w:noHBand="0" w:noVBand="1"/>
      </w:tblPr>
      <w:tblGrid>
        <w:gridCol w:w="1956"/>
        <w:gridCol w:w="8534"/>
      </w:tblGrid>
      <w:tr w:rsidR="008D02A6" w:rsidRPr="00AC213D" w14:paraId="64A7FB2F" w14:textId="77777777" w:rsidTr="00D05D7B">
        <w:tc>
          <w:tcPr>
            <w:tcW w:w="1956" w:type="dxa"/>
            <w:shd w:val="clear" w:color="auto" w:fill="43CEFF"/>
            <w:vAlign w:val="center"/>
          </w:tcPr>
          <w:p w14:paraId="209FDEE8" w14:textId="4E6C6047" w:rsidR="00746C35" w:rsidRDefault="00746C35" w:rsidP="002215A3">
            <w:pPr>
              <w:jc w:val="center"/>
              <w:rPr>
                <w:sz w:val="20"/>
              </w:rPr>
            </w:pPr>
            <w:r w:rsidRPr="0081282D">
              <w:rPr>
                <w:sz w:val="20"/>
              </w:rPr>
              <w:t>Arrêté du 15 mars 1991</w:t>
            </w:r>
            <w:r>
              <w:rPr>
                <w:sz w:val="20"/>
              </w:rPr>
              <w:t> :</w:t>
            </w:r>
          </w:p>
          <w:p w14:paraId="2A520479" w14:textId="57061D53" w:rsidR="00746C35" w:rsidRDefault="008D02A6" w:rsidP="002215A3">
            <w:pPr>
              <w:jc w:val="center"/>
              <w:rPr>
                <w:b/>
                <w:sz w:val="20"/>
              </w:rPr>
            </w:pPr>
            <w:r w:rsidRPr="0081282D">
              <w:rPr>
                <w:b/>
                <w:sz w:val="20"/>
              </w:rPr>
              <w:t>Hépatite B</w:t>
            </w:r>
          </w:p>
          <w:p w14:paraId="4A327738" w14:textId="31E29ACD" w:rsidR="008D02A6" w:rsidRPr="00746C35" w:rsidRDefault="008D02A6" w:rsidP="00746C35">
            <w:pPr>
              <w:jc w:val="center"/>
              <w:rPr>
                <w:b/>
                <w:sz w:val="20"/>
              </w:rPr>
            </w:pPr>
            <w:r w:rsidRPr="0081282D">
              <w:rPr>
                <w:b/>
                <w:sz w:val="20"/>
              </w:rPr>
              <w:t>DTP</w:t>
            </w:r>
            <w:r w:rsidR="00746C35">
              <w:rPr>
                <w:b/>
                <w:sz w:val="20"/>
              </w:rPr>
              <w:t xml:space="preserve"> </w:t>
            </w:r>
            <w:r w:rsidR="00746C35" w:rsidRPr="00746C35">
              <w:rPr>
                <w:bCs/>
                <w:sz w:val="20"/>
              </w:rPr>
              <w:t>(cf. annexe)</w:t>
            </w:r>
          </w:p>
        </w:tc>
        <w:tc>
          <w:tcPr>
            <w:tcW w:w="8534" w:type="dxa"/>
            <w:vAlign w:val="center"/>
          </w:tcPr>
          <w:p w14:paraId="0D1473B7" w14:textId="77777777" w:rsidR="008D02A6" w:rsidRPr="0081282D" w:rsidRDefault="008D02A6" w:rsidP="00FB63C3">
            <w:pPr>
              <w:jc w:val="both"/>
              <w:rPr>
                <w:sz w:val="20"/>
              </w:rPr>
            </w:pPr>
            <w:r w:rsidRPr="0081282D">
              <w:rPr>
                <w:sz w:val="20"/>
              </w:rPr>
              <w:t xml:space="preserve">Pour les personnels exposés </w:t>
            </w:r>
            <w:r w:rsidR="00095C5E" w:rsidRPr="0081282D">
              <w:rPr>
                <w:sz w:val="20"/>
              </w:rPr>
              <w:t>à des risques de contamination :</w:t>
            </w:r>
            <w:r w:rsidR="002215A3" w:rsidRPr="0081282D">
              <w:rPr>
                <w:sz w:val="20"/>
              </w:rPr>
              <w:t xml:space="preserve"> personnels des </w:t>
            </w:r>
            <w:r w:rsidRPr="0081282D">
              <w:rPr>
                <w:sz w:val="20"/>
              </w:rPr>
              <w:t>hôpitaux et cliniques, centre</w:t>
            </w:r>
            <w:r w:rsidR="00095C5E" w:rsidRPr="0081282D">
              <w:rPr>
                <w:sz w:val="20"/>
              </w:rPr>
              <w:t>s</w:t>
            </w:r>
            <w:r w:rsidRPr="0081282D">
              <w:rPr>
                <w:sz w:val="20"/>
              </w:rPr>
              <w:t xml:space="preserve"> de soins, PMI</w:t>
            </w:r>
            <w:r w:rsidR="0003028D" w:rsidRPr="0081282D">
              <w:rPr>
                <w:sz w:val="20"/>
              </w:rPr>
              <w:t>, personnels de crèches</w:t>
            </w:r>
            <w:r w:rsidRPr="0081282D">
              <w:rPr>
                <w:sz w:val="20"/>
              </w:rPr>
              <w:t>, cabinets dentaires, prisons, laboratoires, centre</w:t>
            </w:r>
            <w:r w:rsidR="00095C5E" w:rsidRPr="0081282D">
              <w:rPr>
                <w:sz w:val="20"/>
              </w:rPr>
              <w:t>s</w:t>
            </w:r>
            <w:r w:rsidRPr="0081282D">
              <w:rPr>
                <w:sz w:val="20"/>
              </w:rPr>
              <w:t xml:space="preserve"> de transfusion, établissements d’hébergements </w:t>
            </w:r>
            <w:r w:rsidR="00095C5E" w:rsidRPr="0081282D">
              <w:rPr>
                <w:sz w:val="20"/>
              </w:rPr>
              <w:t xml:space="preserve">des </w:t>
            </w:r>
            <w:r w:rsidRPr="0081282D">
              <w:rPr>
                <w:sz w:val="20"/>
              </w:rPr>
              <w:t>adultes handicapés et</w:t>
            </w:r>
            <w:r w:rsidR="00095C5E" w:rsidRPr="0081282D">
              <w:rPr>
                <w:sz w:val="20"/>
              </w:rPr>
              <w:t xml:space="preserve"> des</w:t>
            </w:r>
            <w:r w:rsidRPr="0081282D">
              <w:rPr>
                <w:sz w:val="20"/>
              </w:rPr>
              <w:t xml:space="preserve"> personnes âgées, blanchisseries</w:t>
            </w:r>
            <w:r w:rsidR="006152AE" w:rsidRPr="0081282D">
              <w:rPr>
                <w:sz w:val="20"/>
              </w:rPr>
              <w:t xml:space="preserve"> (linge sale), </w:t>
            </w:r>
            <w:r w:rsidR="00FB63C3" w:rsidRPr="0081282D">
              <w:rPr>
                <w:sz w:val="20"/>
              </w:rPr>
              <w:t>soins funéraires</w:t>
            </w:r>
            <w:r w:rsidRPr="0081282D">
              <w:rPr>
                <w:sz w:val="20"/>
              </w:rPr>
              <w:t>…</w:t>
            </w:r>
          </w:p>
        </w:tc>
      </w:tr>
      <w:tr w:rsidR="008D02A6" w:rsidRPr="00AC213D" w14:paraId="4E041BBE" w14:textId="77777777" w:rsidTr="00D05D7B">
        <w:tc>
          <w:tcPr>
            <w:tcW w:w="1956" w:type="dxa"/>
            <w:shd w:val="clear" w:color="auto" w:fill="43CEFF"/>
            <w:vAlign w:val="center"/>
          </w:tcPr>
          <w:p w14:paraId="3908E43B" w14:textId="77777777" w:rsidR="002215A3" w:rsidRDefault="00883DC0" w:rsidP="00883DC0">
            <w:pPr>
              <w:jc w:val="center"/>
              <w:rPr>
                <w:b/>
                <w:bCs/>
                <w:sz w:val="20"/>
              </w:rPr>
            </w:pPr>
            <w:r w:rsidRPr="00883DC0">
              <w:rPr>
                <w:b/>
                <w:bCs/>
                <w:sz w:val="20"/>
              </w:rPr>
              <w:t>COVID-19</w:t>
            </w:r>
          </w:p>
          <w:p w14:paraId="4C4FBD22" w14:textId="640B4977" w:rsidR="00465366" w:rsidRPr="00883DC0" w:rsidRDefault="00465366" w:rsidP="00465366">
            <w:pPr>
              <w:jc w:val="center"/>
              <w:rPr>
                <w:b/>
                <w:bCs/>
                <w:sz w:val="20"/>
              </w:rPr>
            </w:pPr>
            <w:r>
              <w:rPr>
                <w:b/>
                <w:bCs/>
                <w:sz w:val="20"/>
              </w:rPr>
              <w:t>(</w:t>
            </w:r>
            <w:r w:rsidR="00746C35">
              <w:rPr>
                <w:b/>
                <w:bCs/>
                <w:sz w:val="20"/>
              </w:rPr>
              <w:t xml:space="preserve">Nombre de dose </w:t>
            </w:r>
            <w:r>
              <w:rPr>
                <w:b/>
                <w:bCs/>
                <w:sz w:val="20"/>
              </w:rPr>
              <w:t>selon schéma vaccinal en vigueur)</w:t>
            </w:r>
          </w:p>
        </w:tc>
        <w:tc>
          <w:tcPr>
            <w:tcW w:w="8534" w:type="dxa"/>
            <w:vAlign w:val="center"/>
          </w:tcPr>
          <w:p w14:paraId="4362DFB3" w14:textId="268D704D" w:rsidR="00465366" w:rsidRPr="00465366" w:rsidRDefault="00465366" w:rsidP="00465366">
            <w:pPr>
              <w:jc w:val="both"/>
              <w:rPr>
                <w:sz w:val="20"/>
              </w:rPr>
            </w:pPr>
            <w:r w:rsidRPr="00465366">
              <w:rPr>
                <w:sz w:val="20"/>
              </w:rPr>
              <w:t xml:space="preserve">Les personnels des établissements de soins, médicaux sociaux et sociaux listés à l’article 12 </w:t>
            </w:r>
            <w:r w:rsidR="008575FF">
              <w:rPr>
                <w:sz w:val="20"/>
              </w:rPr>
              <w:t xml:space="preserve">(en annexe) </w:t>
            </w:r>
            <w:r w:rsidRPr="00465366">
              <w:rPr>
                <w:sz w:val="20"/>
              </w:rPr>
              <w:t>de la loi relative à la gestion de la crise sanitaire du 5 août 2021 doivent être vaccinés dès le 9 août 2021, sauf contre-indication médicale ou présentation d’un certificat de rétablissement.</w:t>
            </w:r>
          </w:p>
          <w:p w14:paraId="288CD154" w14:textId="77777777" w:rsidR="002D6342" w:rsidRPr="00465366" w:rsidRDefault="00465366" w:rsidP="00465366">
            <w:pPr>
              <w:jc w:val="both"/>
              <w:rPr>
                <w:sz w:val="20"/>
              </w:rPr>
            </w:pPr>
            <w:r w:rsidRPr="00465366">
              <w:rPr>
                <w:sz w:val="20"/>
              </w:rPr>
              <w:t>Les employeurs sont chargés de contrôler le respect de l’obligation prévue au I de l’article 5 par les personnes placées sous leur responsabilité.</w:t>
            </w:r>
          </w:p>
          <w:p w14:paraId="750B4FDF" w14:textId="2B162022" w:rsidR="00465366" w:rsidRPr="00465366" w:rsidRDefault="00465366" w:rsidP="00465366">
            <w:pPr>
              <w:jc w:val="both"/>
              <w:rPr>
                <w:sz w:val="20"/>
              </w:rPr>
            </w:pPr>
            <w:r w:rsidRPr="00465366">
              <w:rPr>
                <w:sz w:val="20"/>
              </w:rPr>
              <w:t>Cette obligation s’applique aussi aux personnels exerçant des activités de transport sanitaire, aux personnels de santé exerçant hors de ces établissements et services, aux professionnels employés à domicile pour des attributaires de l’allocation personnalisée d’autonomie (APA) ou de la prestation de compensation du handicap (PCH) mais aussi aux personnels des services d’incendie et de secours (SDIS) et aux membres des associations agréées de sécurité civile (pour leur seule activité de sécurité civile).</w:t>
            </w:r>
          </w:p>
        </w:tc>
      </w:tr>
      <w:tr w:rsidR="0069790D" w:rsidRPr="00AC213D" w14:paraId="7E132D6F" w14:textId="77777777" w:rsidTr="00D05D7B">
        <w:tc>
          <w:tcPr>
            <w:tcW w:w="1956" w:type="dxa"/>
            <w:tcBorders>
              <w:bottom w:val="single" w:sz="4" w:space="0" w:color="auto"/>
            </w:tcBorders>
            <w:shd w:val="clear" w:color="auto" w:fill="43CEFF"/>
            <w:vAlign w:val="center"/>
          </w:tcPr>
          <w:p w14:paraId="55D160BF" w14:textId="77777777" w:rsidR="0069790D" w:rsidRPr="0081282D" w:rsidRDefault="00C25653" w:rsidP="00DB5930">
            <w:pPr>
              <w:jc w:val="center"/>
              <w:rPr>
                <w:b/>
                <w:sz w:val="20"/>
              </w:rPr>
            </w:pPr>
            <w:r w:rsidRPr="0081282D">
              <w:rPr>
                <w:b/>
                <w:sz w:val="20"/>
              </w:rPr>
              <w:t>Fièvre jaune, Typhoïde, Rage…</w:t>
            </w:r>
          </w:p>
        </w:tc>
        <w:tc>
          <w:tcPr>
            <w:tcW w:w="8534" w:type="dxa"/>
            <w:tcBorders>
              <w:bottom w:val="single" w:sz="4" w:space="0" w:color="auto"/>
            </w:tcBorders>
            <w:vAlign w:val="center"/>
          </w:tcPr>
          <w:p w14:paraId="5C796C55" w14:textId="77777777" w:rsidR="00095C5E" w:rsidRPr="0081282D" w:rsidRDefault="00C25653" w:rsidP="00DB5930">
            <w:pPr>
              <w:jc w:val="both"/>
              <w:rPr>
                <w:color w:val="1F497D" w:themeColor="text2"/>
                <w:sz w:val="20"/>
              </w:rPr>
            </w:pPr>
            <w:r w:rsidRPr="0081282D">
              <w:rPr>
                <w:sz w:val="20"/>
              </w:rPr>
              <w:t xml:space="preserve">Pour déplacements </w:t>
            </w:r>
            <w:r w:rsidR="001E0D73" w:rsidRPr="0081282D">
              <w:rPr>
                <w:sz w:val="20"/>
              </w:rPr>
              <w:t>à</w:t>
            </w:r>
            <w:r w:rsidRPr="0081282D">
              <w:rPr>
                <w:sz w:val="20"/>
              </w:rPr>
              <w:t xml:space="preserve"> l’étranger</w:t>
            </w:r>
            <w:r w:rsidR="004A05C5" w:rsidRPr="0081282D">
              <w:rPr>
                <w:sz w:val="20"/>
              </w:rPr>
              <w:t xml:space="preserve"> en fonction du pays de destination             </w:t>
            </w:r>
            <w:r w:rsidRPr="0081282D">
              <w:rPr>
                <w:sz w:val="20"/>
              </w:rPr>
              <w:t xml:space="preserve"> </w:t>
            </w:r>
            <w:r w:rsidR="001E0D73" w:rsidRPr="0081282D">
              <w:rPr>
                <w:sz w:val="20"/>
              </w:rPr>
              <w:t xml:space="preserve">                  </w:t>
            </w:r>
            <w:r w:rsidR="00095C5E" w:rsidRPr="0081282D">
              <w:rPr>
                <w:color w:val="1F497D" w:themeColor="text2"/>
                <w:sz w:val="20"/>
                <w:u w:val="single"/>
              </w:rPr>
              <w:t>www.diplomatie.gouv.fr/fr/conseils-aux-voyageur</w:t>
            </w:r>
            <w:r w:rsidR="00095C5E" w:rsidRPr="0081282D">
              <w:rPr>
                <w:color w:val="1F497D" w:themeColor="text2"/>
                <w:sz w:val="20"/>
              </w:rPr>
              <w:t xml:space="preserve"> </w:t>
            </w:r>
          </w:p>
          <w:p w14:paraId="1464E789" w14:textId="77777777" w:rsidR="00095C5E" w:rsidRPr="0081282D" w:rsidRDefault="00095C5E" w:rsidP="00DB5930">
            <w:pPr>
              <w:jc w:val="both"/>
              <w:rPr>
                <w:sz w:val="20"/>
              </w:rPr>
            </w:pPr>
            <w:r w:rsidRPr="0081282D">
              <w:rPr>
                <w:color w:val="1F497D" w:themeColor="text2"/>
                <w:sz w:val="20"/>
                <w:u w:val="single"/>
              </w:rPr>
              <w:t>www.pasteur.fr/fr/map</w:t>
            </w:r>
          </w:p>
        </w:tc>
      </w:tr>
    </w:tbl>
    <w:p w14:paraId="533A9393" w14:textId="77777777" w:rsidR="00D05D7B" w:rsidRDefault="00D05D7B" w:rsidP="00D05D7B">
      <w:pPr>
        <w:ind w:right="-993"/>
        <w:rPr>
          <w:sz w:val="2"/>
        </w:rPr>
      </w:pPr>
    </w:p>
    <w:p w14:paraId="693EDD99" w14:textId="77777777" w:rsidR="00D05D7B" w:rsidRDefault="00D05D7B" w:rsidP="00D05D7B">
      <w:pPr>
        <w:ind w:right="-993"/>
        <w:rPr>
          <w:sz w:val="2"/>
        </w:rPr>
      </w:pPr>
    </w:p>
    <w:p w14:paraId="78FF0609" w14:textId="5B4B85C8" w:rsidR="0069790D" w:rsidRPr="00EA459D" w:rsidRDefault="0069790D" w:rsidP="00DB5930">
      <w:pPr>
        <w:pStyle w:val="Paragraphedeliste"/>
        <w:numPr>
          <w:ilvl w:val="0"/>
          <w:numId w:val="2"/>
        </w:numPr>
        <w:rPr>
          <w:b/>
          <w:sz w:val="24"/>
          <w:u w:val="single"/>
        </w:rPr>
      </w:pPr>
      <w:r w:rsidRPr="00EA459D">
        <w:rPr>
          <w:b/>
          <w:sz w:val="24"/>
          <w:u w:val="single"/>
        </w:rPr>
        <w:t xml:space="preserve">Vaccinations </w:t>
      </w:r>
      <w:r w:rsidR="00155C1D">
        <w:rPr>
          <w:b/>
          <w:sz w:val="24"/>
          <w:u w:val="single"/>
        </w:rPr>
        <w:t>conseillées (selon risques et expositions</w:t>
      </w:r>
      <w:r w:rsidR="00D03974">
        <w:rPr>
          <w:b/>
          <w:sz w:val="24"/>
          <w:u w:val="single"/>
        </w:rPr>
        <w:t>)</w:t>
      </w:r>
    </w:p>
    <w:tbl>
      <w:tblPr>
        <w:tblStyle w:val="Grilledutableau"/>
        <w:tblW w:w="10490" w:type="dxa"/>
        <w:tblInd w:w="-572" w:type="dxa"/>
        <w:tblLook w:val="04A0" w:firstRow="1" w:lastRow="0" w:firstColumn="1" w:lastColumn="0" w:noHBand="0" w:noVBand="1"/>
      </w:tblPr>
      <w:tblGrid>
        <w:gridCol w:w="2122"/>
        <w:gridCol w:w="8368"/>
      </w:tblGrid>
      <w:tr w:rsidR="0069790D" w:rsidRPr="00AC213D" w14:paraId="698DF725" w14:textId="77777777" w:rsidTr="00883DC0">
        <w:tc>
          <w:tcPr>
            <w:tcW w:w="2122" w:type="dxa"/>
            <w:shd w:val="clear" w:color="auto" w:fill="43CEFF"/>
            <w:vAlign w:val="center"/>
          </w:tcPr>
          <w:p w14:paraId="6A977856" w14:textId="50A76EFC" w:rsidR="0069790D" w:rsidRPr="0081282D" w:rsidRDefault="00155C1D" w:rsidP="00155C1D">
            <w:pPr>
              <w:ind w:left="34" w:hanging="34"/>
              <w:jc w:val="center"/>
              <w:rPr>
                <w:b/>
                <w:sz w:val="20"/>
              </w:rPr>
            </w:pPr>
            <w:r w:rsidRPr="000C06C6">
              <w:rPr>
                <w:b/>
                <w:sz w:val="20"/>
              </w:rPr>
              <w:t>BCG</w:t>
            </w:r>
          </w:p>
        </w:tc>
        <w:tc>
          <w:tcPr>
            <w:tcW w:w="8368" w:type="dxa"/>
            <w:vAlign w:val="center"/>
          </w:tcPr>
          <w:p w14:paraId="6A0866B7" w14:textId="77777777" w:rsidR="00155C1D" w:rsidRPr="005D4DE3" w:rsidRDefault="00155C1D" w:rsidP="00155C1D">
            <w:pPr>
              <w:shd w:val="clear" w:color="auto" w:fill="FFFFFF"/>
              <w:jc w:val="both"/>
              <w:rPr>
                <w:rFonts w:eastAsia="Times New Roman" w:cstheme="minorHAnsi"/>
                <w:sz w:val="20"/>
                <w:szCs w:val="20"/>
                <w:lang w:eastAsia="fr-FR"/>
              </w:rPr>
            </w:pPr>
            <w:r w:rsidRPr="005D4DE3">
              <w:rPr>
                <w:rFonts w:eastAsia="Times New Roman" w:cstheme="minorHAnsi"/>
                <w:sz w:val="20"/>
                <w:szCs w:val="20"/>
                <w:lang w:eastAsia="fr-FR"/>
              </w:rPr>
              <w:t>Le </w:t>
            </w:r>
            <w:hyperlink r:id="rId10" w:tgtFrame="_blank" w:history="1">
              <w:r w:rsidRPr="005D4DE3">
                <w:rPr>
                  <w:rFonts w:eastAsia="Times New Roman" w:cstheme="minorHAnsi"/>
                  <w:sz w:val="20"/>
                  <w:szCs w:val="20"/>
                  <w:u w:val="single"/>
                  <w:lang w:eastAsia="fr-FR"/>
                </w:rPr>
                <w:t>décret n°2019-149 du 27 février 2019</w:t>
              </w:r>
            </w:hyperlink>
            <w:r w:rsidRPr="005D4DE3">
              <w:rPr>
                <w:rFonts w:eastAsia="Times New Roman" w:cstheme="minorHAnsi"/>
                <w:sz w:val="20"/>
                <w:szCs w:val="20"/>
                <w:lang w:eastAsia="fr-FR"/>
              </w:rPr>
              <w:t> suspendant l’obligation de vaccination contre la tuberculose des professionnels visés aux articles </w:t>
            </w:r>
            <w:hyperlink r:id="rId11" w:tgtFrame="_self" w:history="1">
              <w:r w:rsidRPr="005D4DE3">
                <w:rPr>
                  <w:rFonts w:eastAsia="Times New Roman" w:cstheme="minorHAnsi"/>
                  <w:sz w:val="20"/>
                  <w:szCs w:val="20"/>
                  <w:u w:val="single"/>
                  <w:lang w:eastAsia="fr-FR"/>
                </w:rPr>
                <w:t>R.3112-1 C et R.3112.2</w:t>
              </w:r>
            </w:hyperlink>
            <w:r w:rsidRPr="005D4DE3">
              <w:rPr>
                <w:rFonts w:eastAsia="Times New Roman" w:cstheme="minorHAnsi"/>
                <w:sz w:val="20"/>
                <w:szCs w:val="20"/>
                <w:lang w:eastAsia="fr-FR"/>
              </w:rPr>
              <w:t> du code de la santé publique a été publié le 1</w:t>
            </w:r>
            <w:r w:rsidRPr="005D4DE3">
              <w:rPr>
                <w:rFonts w:eastAsia="Times New Roman" w:cstheme="minorHAnsi"/>
                <w:sz w:val="20"/>
                <w:szCs w:val="20"/>
                <w:vertAlign w:val="superscript"/>
                <w:lang w:eastAsia="fr-FR"/>
              </w:rPr>
              <w:t>er</w:t>
            </w:r>
            <w:r w:rsidRPr="005D4DE3">
              <w:rPr>
                <w:rFonts w:eastAsia="Times New Roman" w:cstheme="minorHAnsi"/>
                <w:sz w:val="20"/>
                <w:szCs w:val="20"/>
                <w:lang w:eastAsia="fr-FR"/>
              </w:rPr>
              <w:t> mars 2019. </w:t>
            </w:r>
            <w:r w:rsidRPr="005D4DE3">
              <w:rPr>
                <w:rFonts w:eastAsia="Times New Roman" w:cstheme="minorHAnsi"/>
                <w:b/>
                <w:bCs/>
                <w:sz w:val="20"/>
                <w:szCs w:val="20"/>
                <w:lang w:eastAsia="fr-FR"/>
              </w:rPr>
              <w:t>Ainsi, la vaccination par le BCG ne sera plus exigée lors de la formation ou de l’embauche de ces professionnels dès le 1</w:t>
            </w:r>
            <w:r w:rsidRPr="005D4DE3">
              <w:rPr>
                <w:rFonts w:eastAsia="Times New Roman" w:cstheme="minorHAnsi"/>
                <w:b/>
                <w:bCs/>
                <w:sz w:val="20"/>
                <w:szCs w:val="20"/>
                <w:vertAlign w:val="superscript"/>
                <w:lang w:eastAsia="fr-FR"/>
              </w:rPr>
              <w:t>er</w:t>
            </w:r>
            <w:r w:rsidRPr="005D4DE3">
              <w:rPr>
                <w:rFonts w:eastAsia="Times New Roman" w:cstheme="minorHAnsi"/>
                <w:b/>
                <w:bCs/>
                <w:sz w:val="20"/>
                <w:szCs w:val="20"/>
                <w:lang w:eastAsia="fr-FR"/>
              </w:rPr>
              <w:t> avril 2019</w:t>
            </w:r>
            <w:r w:rsidRPr="005D4DE3">
              <w:rPr>
                <w:rFonts w:eastAsia="Times New Roman" w:cstheme="minorHAnsi"/>
                <w:sz w:val="20"/>
                <w:szCs w:val="20"/>
                <w:lang w:eastAsia="fr-FR"/>
              </w:rPr>
              <w:t>. Toutefois, il appartiendra </w:t>
            </w:r>
            <w:r w:rsidRPr="005D4DE3">
              <w:rPr>
                <w:rFonts w:eastAsia="Times New Roman" w:cstheme="minorHAnsi"/>
                <w:b/>
                <w:bCs/>
                <w:sz w:val="20"/>
                <w:szCs w:val="20"/>
                <w:lang w:eastAsia="fr-FR"/>
              </w:rPr>
              <w:t>aux médecins du travail</w:t>
            </w:r>
            <w:r w:rsidRPr="005D4DE3">
              <w:rPr>
                <w:rFonts w:eastAsia="Times New Roman" w:cstheme="minorHAnsi"/>
                <w:sz w:val="20"/>
                <w:szCs w:val="20"/>
                <w:lang w:eastAsia="fr-FR"/>
              </w:rPr>
              <w:t> d'évaluer ce risque et de proposer, le cas échéant, une vaccination par le vaccin antituberculeux BCG au cas par cas aux professionnels du secteur sanitaire et social non antérieurement vaccinés, ayant un test immunologique de référence négatif et susceptibles d'être très exposés tels que :</w:t>
            </w:r>
          </w:p>
          <w:p w14:paraId="5F597BF4" w14:textId="2A36EF71" w:rsidR="00155C1D" w:rsidRPr="005D4DE3" w:rsidRDefault="00155C1D" w:rsidP="00155C1D">
            <w:pPr>
              <w:numPr>
                <w:ilvl w:val="0"/>
                <w:numId w:val="12"/>
              </w:numPr>
              <w:shd w:val="clear" w:color="auto" w:fill="FFFFFF"/>
              <w:ind w:left="178" w:hanging="92"/>
              <w:jc w:val="both"/>
              <w:rPr>
                <w:rFonts w:eastAsia="Times New Roman" w:cstheme="minorHAnsi"/>
                <w:sz w:val="20"/>
                <w:szCs w:val="20"/>
                <w:lang w:eastAsia="fr-FR"/>
              </w:rPr>
            </w:pPr>
            <w:r w:rsidRPr="005D4DE3">
              <w:rPr>
                <w:rFonts w:eastAsia="Times New Roman" w:cstheme="minorHAnsi"/>
                <w:sz w:val="20"/>
                <w:szCs w:val="20"/>
                <w:lang w:eastAsia="fr-FR"/>
              </w:rPr>
              <w:t>Les personnels en contact répété avec des patients tuberculeux et tout particulièrement ceux à risque de tuberculose multirésistante</w:t>
            </w:r>
          </w:p>
          <w:p w14:paraId="75C389E4" w14:textId="0C9B1608" w:rsidR="00C05F95" w:rsidRPr="005D4DE3" w:rsidRDefault="00155C1D" w:rsidP="00155C1D">
            <w:pPr>
              <w:numPr>
                <w:ilvl w:val="0"/>
                <w:numId w:val="12"/>
              </w:numPr>
              <w:shd w:val="clear" w:color="auto" w:fill="FFFFFF"/>
              <w:ind w:left="178" w:hanging="92"/>
              <w:jc w:val="both"/>
              <w:rPr>
                <w:rFonts w:eastAsia="Times New Roman" w:cstheme="minorHAnsi"/>
                <w:sz w:val="20"/>
                <w:szCs w:val="20"/>
                <w:lang w:eastAsia="fr-FR"/>
              </w:rPr>
            </w:pPr>
            <w:r w:rsidRPr="005D4DE3">
              <w:rPr>
                <w:rFonts w:eastAsia="Times New Roman" w:cstheme="minorHAnsi"/>
                <w:sz w:val="20"/>
                <w:szCs w:val="20"/>
                <w:lang w:eastAsia="fr-FR"/>
              </w:rPr>
              <w:t>Les personnels de laboratoires travaillant sur les mycobactéries</w:t>
            </w:r>
          </w:p>
        </w:tc>
      </w:tr>
      <w:tr w:rsidR="00155C1D" w:rsidRPr="00AC213D" w14:paraId="42238286" w14:textId="77777777" w:rsidTr="00883DC0">
        <w:tc>
          <w:tcPr>
            <w:tcW w:w="2122" w:type="dxa"/>
            <w:shd w:val="clear" w:color="auto" w:fill="43CEFF"/>
            <w:vAlign w:val="center"/>
          </w:tcPr>
          <w:p w14:paraId="7C231474" w14:textId="5884F3CD" w:rsidR="00155C1D" w:rsidRPr="0081282D" w:rsidRDefault="00155C1D" w:rsidP="00155C1D">
            <w:pPr>
              <w:jc w:val="center"/>
              <w:rPr>
                <w:b/>
                <w:sz w:val="20"/>
              </w:rPr>
            </w:pPr>
            <w:r w:rsidRPr="0081282D">
              <w:rPr>
                <w:b/>
                <w:sz w:val="20"/>
              </w:rPr>
              <w:t>Hépatite A</w:t>
            </w:r>
          </w:p>
        </w:tc>
        <w:tc>
          <w:tcPr>
            <w:tcW w:w="8368" w:type="dxa"/>
            <w:vAlign w:val="center"/>
          </w:tcPr>
          <w:p w14:paraId="7F89E872" w14:textId="77777777" w:rsidR="00155C1D" w:rsidRPr="0081282D" w:rsidRDefault="00155C1D" w:rsidP="00155C1D">
            <w:pPr>
              <w:jc w:val="both"/>
              <w:rPr>
                <w:sz w:val="20"/>
              </w:rPr>
            </w:pPr>
            <w:r w:rsidRPr="0081282D">
              <w:rPr>
                <w:sz w:val="20"/>
              </w:rPr>
              <w:t>Personnel de crèches, assistantes maternelles, accueil d’enfants ou d’adultes handicapés</w:t>
            </w:r>
          </w:p>
          <w:p w14:paraId="68A7499C" w14:textId="77777777" w:rsidR="00155C1D" w:rsidRPr="0081282D" w:rsidRDefault="00155C1D" w:rsidP="00155C1D">
            <w:pPr>
              <w:jc w:val="both"/>
              <w:rPr>
                <w:sz w:val="20"/>
              </w:rPr>
            </w:pPr>
            <w:r w:rsidRPr="0081282D">
              <w:rPr>
                <w:sz w:val="20"/>
              </w:rPr>
              <w:t>Personnes travaillant au contact des eaux usées</w:t>
            </w:r>
          </w:p>
          <w:p w14:paraId="68D4ADFC" w14:textId="74BFCA99" w:rsidR="00155C1D" w:rsidRPr="0081282D" w:rsidRDefault="00155C1D" w:rsidP="00155C1D">
            <w:pPr>
              <w:jc w:val="both"/>
              <w:rPr>
                <w:sz w:val="20"/>
              </w:rPr>
            </w:pPr>
            <w:r w:rsidRPr="0081282D">
              <w:rPr>
                <w:sz w:val="20"/>
              </w:rPr>
              <w:t>Préparation alimentaire et restauration collective</w:t>
            </w:r>
          </w:p>
        </w:tc>
      </w:tr>
      <w:tr w:rsidR="00155C1D" w:rsidRPr="00AC213D" w14:paraId="15EFC2CE" w14:textId="77777777" w:rsidTr="00883DC0">
        <w:tc>
          <w:tcPr>
            <w:tcW w:w="2122" w:type="dxa"/>
            <w:shd w:val="clear" w:color="auto" w:fill="43CEFF"/>
            <w:vAlign w:val="center"/>
          </w:tcPr>
          <w:p w14:paraId="064F4872" w14:textId="77777777" w:rsidR="00155C1D" w:rsidRPr="0081282D" w:rsidRDefault="00155C1D" w:rsidP="00155C1D">
            <w:pPr>
              <w:jc w:val="center"/>
              <w:rPr>
                <w:b/>
                <w:sz w:val="20"/>
              </w:rPr>
            </w:pPr>
            <w:r w:rsidRPr="0081282D">
              <w:rPr>
                <w:b/>
                <w:sz w:val="20"/>
              </w:rPr>
              <w:t>Hépatite B</w:t>
            </w:r>
          </w:p>
        </w:tc>
        <w:tc>
          <w:tcPr>
            <w:tcW w:w="8368" w:type="dxa"/>
            <w:vAlign w:val="center"/>
          </w:tcPr>
          <w:p w14:paraId="2A9AF683" w14:textId="77777777" w:rsidR="00155C1D" w:rsidRPr="0081282D" w:rsidRDefault="00155C1D" w:rsidP="00155C1D">
            <w:pPr>
              <w:jc w:val="both"/>
              <w:rPr>
                <w:sz w:val="20"/>
              </w:rPr>
            </w:pPr>
            <w:r w:rsidRPr="0081282D">
              <w:rPr>
                <w:sz w:val="20"/>
              </w:rPr>
              <w:t>Services de secours et de sécurité (pompiers, policiers, gardiens de prisons,), tatoueurs, égoutiers, éboueurs, salariés des pompes funèbres, …</w:t>
            </w:r>
          </w:p>
        </w:tc>
      </w:tr>
      <w:tr w:rsidR="00155C1D" w:rsidRPr="00AC213D" w14:paraId="1F5DCD84" w14:textId="77777777" w:rsidTr="00883DC0">
        <w:tc>
          <w:tcPr>
            <w:tcW w:w="2122" w:type="dxa"/>
            <w:shd w:val="clear" w:color="auto" w:fill="43CEFF"/>
            <w:vAlign w:val="center"/>
          </w:tcPr>
          <w:p w14:paraId="2A1109B1" w14:textId="77777777" w:rsidR="00155C1D" w:rsidRPr="0081282D" w:rsidRDefault="00155C1D" w:rsidP="00155C1D">
            <w:pPr>
              <w:jc w:val="center"/>
              <w:rPr>
                <w:b/>
                <w:sz w:val="20"/>
              </w:rPr>
            </w:pPr>
            <w:r w:rsidRPr="0081282D">
              <w:rPr>
                <w:b/>
                <w:sz w:val="20"/>
              </w:rPr>
              <w:t>Leptospirose</w:t>
            </w:r>
          </w:p>
        </w:tc>
        <w:tc>
          <w:tcPr>
            <w:tcW w:w="8368" w:type="dxa"/>
            <w:vAlign w:val="center"/>
          </w:tcPr>
          <w:p w14:paraId="6AAD8F42" w14:textId="77777777" w:rsidR="00155C1D" w:rsidRPr="0081282D" w:rsidRDefault="00155C1D" w:rsidP="00155C1D">
            <w:pPr>
              <w:jc w:val="both"/>
              <w:rPr>
                <w:sz w:val="20"/>
              </w:rPr>
            </w:pPr>
            <w:r w:rsidRPr="0081282D">
              <w:rPr>
                <w:sz w:val="20"/>
              </w:rPr>
              <w:t>Personnes travaillant au contact des eaux usées (station épuration) et les égoutiers.</w:t>
            </w:r>
          </w:p>
        </w:tc>
      </w:tr>
      <w:tr w:rsidR="00155C1D" w:rsidRPr="00AC213D" w14:paraId="1C93F558" w14:textId="77777777" w:rsidTr="00883DC0">
        <w:tc>
          <w:tcPr>
            <w:tcW w:w="2122" w:type="dxa"/>
            <w:shd w:val="clear" w:color="auto" w:fill="43CEFF"/>
            <w:vAlign w:val="center"/>
          </w:tcPr>
          <w:p w14:paraId="6CA20210" w14:textId="77777777" w:rsidR="00155C1D" w:rsidRPr="0081282D" w:rsidRDefault="00155C1D" w:rsidP="00155C1D">
            <w:pPr>
              <w:jc w:val="center"/>
              <w:rPr>
                <w:b/>
                <w:sz w:val="20"/>
              </w:rPr>
            </w:pPr>
            <w:r w:rsidRPr="0081282D">
              <w:rPr>
                <w:b/>
                <w:sz w:val="20"/>
              </w:rPr>
              <w:t>Rage</w:t>
            </w:r>
          </w:p>
        </w:tc>
        <w:tc>
          <w:tcPr>
            <w:tcW w:w="8368" w:type="dxa"/>
            <w:vAlign w:val="center"/>
          </w:tcPr>
          <w:p w14:paraId="1E361A19" w14:textId="77777777" w:rsidR="00155C1D" w:rsidRPr="0081282D" w:rsidRDefault="00155C1D" w:rsidP="00155C1D">
            <w:pPr>
              <w:jc w:val="both"/>
              <w:rPr>
                <w:sz w:val="20"/>
              </w:rPr>
            </w:pPr>
            <w:r w:rsidRPr="0081282D">
              <w:rPr>
                <w:sz w:val="20"/>
              </w:rPr>
              <w:t>Si exposition : services vétérinaires dans les zones à risques, personnel de laboratoire, équarrisseurs, personnel des fourrières, naturalistes, garde-chasse, abattoirs…</w:t>
            </w:r>
          </w:p>
        </w:tc>
      </w:tr>
      <w:tr w:rsidR="00155C1D" w:rsidRPr="00AC213D" w14:paraId="684397E3" w14:textId="77777777" w:rsidTr="00883DC0">
        <w:tc>
          <w:tcPr>
            <w:tcW w:w="2122" w:type="dxa"/>
            <w:tcBorders>
              <w:bottom w:val="single" w:sz="4" w:space="0" w:color="auto"/>
            </w:tcBorders>
            <w:shd w:val="clear" w:color="auto" w:fill="43CEFF"/>
            <w:vAlign w:val="center"/>
          </w:tcPr>
          <w:p w14:paraId="7337F6A6" w14:textId="44607595" w:rsidR="00155C1D" w:rsidRPr="0081282D" w:rsidRDefault="00155C1D" w:rsidP="00155C1D">
            <w:pPr>
              <w:jc w:val="center"/>
              <w:rPr>
                <w:b/>
                <w:sz w:val="20"/>
              </w:rPr>
            </w:pPr>
            <w:r w:rsidRPr="0081282D">
              <w:rPr>
                <w:b/>
                <w:sz w:val="20"/>
              </w:rPr>
              <w:t>Varicelle</w:t>
            </w:r>
            <w:r>
              <w:rPr>
                <w:b/>
                <w:sz w:val="20"/>
              </w:rPr>
              <w:t>,</w:t>
            </w:r>
            <w:r w:rsidRPr="0081282D">
              <w:rPr>
                <w:b/>
                <w:sz w:val="20"/>
              </w:rPr>
              <w:t xml:space="preserve"> Rougeole</w:t>
            </w:r>
            <w:r>
              <w:rPr>
                <w:b/>
                <w:sz w:val="20"/>
              </w:rPr>
              <w:t xml:space="preserve">, </w:t>
            </w:r>
            <w:r w:rsidRPr="0081282D">
              <w:rPr>
                <w:b/>
                <w:sz w:val="20"/>
              </w:rPr>
              <w:t>Coqueluche</w:t>
            </w:r>
          </w:p>
        </w:tc>
        <w:tc>
          <w:tcPr>
            <w:tcW w:w="8368" w:type="dxa"/>
            <w:vAlign w:val="center"/>
          </w:tcPr>
          <w:p w14:paraId="44FE3BA9" w14:textId="77777777" w:rsidR="00155C1D" w:rsidRPr="0081282D" w:rsidRDefault="00155C1D" w:rsidP="00155C1D">
            <w:pPr>
              <w:jc w:val="both"/>
              <w:rPr>
                <w:sz w:val="20"/>
              </w:rPr>
            </w:pPr>
            <w:r w:rsidRPr="0081282D">
              <w:rPr>
                <w:sz w:val="20"/>
              </w:rPr>
              <w:t>Personnel en contact avec la petite enfance, personnels soignant, contact avec immunodéprimés, …</w:t>
            </w:r>
          </w:p>
        </w:tc>
      </w:tr>
      <w:tr w:rsidR="00155C1D" w:rsidRPr="00AC213D" w14:paraId="07B7FD04" w14:textId="77777777" w:rsidTr="00883DC0">
        <w:tc>
          <w:tcPr>
            <w:tcW w:w="2122" w:type="dxa"/>
            <w:tcBorders>
              <w:bottom w:val="single" w:sz="4" w:space="0" w:color="auto"/>
            </w:tcBorders>
            <w:shd w:val="clear" w:color="auto" w:fill="43CEFF"/>
            <w:vAlign w:val="center"/>
          </w:tcPr>
          <w:p w14:paraId="0426C2F9" w14:textId="77777777" w:rsidR="00155C1D" w:rsidRPr="0081282D" w:rsidRDefault="00155C1D" w:rsidP="00155C1D">
            <w:pPr>
              <w:jc w:val="center"/>
              <w:rPr>
                <w:b/>
                <w:sz w:val="20"/>
              </w:rPr>
            </w:pPr>
            <w:r w:rsidRPr="0081282D">
              <w:rPr>
                <w:b/>
                <w:sz w:val="20"/>
              </w:rPr>
              <w:t>Grippe</w:t>
            </w:r>
          </w:p>
        </w:tc>
        <w:tc>
          <w:tcPr>
            <w:tcW w:w="8368" w:type="dxa"/>
            <w:vAlign w:val="center"/>
          </w:tcPr>
          <w:p w14:paraId="5E128653" w14:textId="77777777" w:rsidR="00155C1D" w:rsidRPr="0081282D" w:rsidRDefault="00155C1D" w:rsidP="00155C1D">
            <w:pPr>
              <w:jc w:val="both"/>
              <w:rPr>
                <w:sz w:val="20"/>
              </w:rPr>
            </w:pPr>
            <w:r w:rsidRPr="0081282D">
              <w:rPr>
                <w:sz w:val="20"/>
              </w:rPr>
              <w:t>Personnel en contact avec le public : hôpitaux, centres médico-sociaux, transports sanitaires, maisons de retraite, professionnels du tourisme, …</w:t>
            </w:r>
          </w:p>
        </w:tc>
      </w:tr>
    </w:tbl>
    <w:p w14:paraId="104C7FFB" w14:textId="74CA98CA" w:rsidR="00BA07FD" w:rsidRDefault="00395FF3" w:rsidP="00395FF3">
      <w:pPr>
        <w:pStyle w:val="Paragraphedeliste"/>
        <w:ind w:left="0"/>
        <w:jc w:val="both"/>
        <w:rPr>
          <w:bCs/>
        </w:rPr>
      </w:pPr>
      <w:r>
        <w:rPr>
          <w:b/>
        </w:rPr>
        <w:lastRenderedPageBreak/>
        <w:t>T</w:t>
      </w:r>
      <w:r w:rsidR="004F2FB3">
        <w:rPr>
          <w:b/>
        </w:rPr>
        <w:t xml:space="preserve">ravail avec animaux : </w:t>
      </w:r>
      <w:r w:rsidR="004F2FB3" w:rsidRPr="004F2FB3">
        <w:rPr>
          <w:bCs/>
        </w:rPr>
        <w:t xml:space="preserve">il est conseillé de sensibiliser les jeunes femmes en âge de procréer sur le risque </w:t>
      </w:r>
      <w:r>
        <w:rPr>
          <w:bCs/>
        </w:rPr>
        <w:t xml:space="preserve">de </w:t>
      </w:r>
      <w:r w:rsidR="00152F59" w:rsidRPr="004F2FB3">
        <w:rPr>
          <w:bCs/>
        </w:rPr>
        <w:t>toxoplasmose</w:t>
      </w:r>
      <w:r w:rsidR="004F2FB3" w:rsidRPr="004F2FB3">
        <w:rPr>
          <w:bCs/>
        </w:rPr>
        <w:t xml:space="preserve"> et de connaître leur statut immunologique à cet égard</w:t>
      </w:r>
      <w:r w:rsidR="004F2FB3">
        <w:rPr>
          <w:bCs/>
        </w:rPr>
        <w:t>.</w:t>
      </w:r>
    </w:p>
    <w:p w14:paraId="6B5B8107" w14:textId="77777777" w:rsidR="0026749F" w:rsidRDefault="0026749F" w:rsidP="00395FF3">
      <w:pPr>
        <w:pStyle w:val="Paragraphedeliste"/>
        <w:ind w:left="0"/>
        <w:jc w:val="both"/>
        <w:rPr>
          <w:bCs/>
        </w:rPr>
      </w:pPr>
    </w:p>
    <w:p w14:paraId="49E09983" w14:textId="77777777" w:rsidR="009C58DD" w:rsidRPr="00AC213D" w:rsidRDefault="00AC213D" w:rsidP="00DB5930">
      <w:pPr>
        <w:pStyle w:val="Paragraphedeliste"/>
        <w:numPr>
          <w:ilvl w:val="0"/>
          <w:numId w:val="1"/>
        </w:numPr>
        <w:rPr>
          <w:i/>
          <w:sz w:val="36"/>
          <w:szCs w:val="20"/>
          <w:u w:val="single"/>
        </w:rPr>
      </w:pPr>
      <w:r>
        <w:rPr>
          <w:i/>
          <w:sz w:val="36"/>
          <w:szCs w:val="20"/>
          <w:u w:val="single"/>
        </w:rPr>
        <w:t>Déroulé de l’entretien</w:t>
      </w:r>
    </w:p>
    <w:p w14:paraId="486E0FC1" w14:textId="77777777" w:rsidR="009C58DD" w:rsidRPr="00BA07FD" w:rsidRDefault="009C58DD" w:rsidP="009C58DD">
      <w:pPr>
        <w:pStyle w:val="Paragraphedeliste"/>
        <w:ind w:left="0"/>
        <w:rPr>
          <w:sz w:val="20"/>
          <w:szCs w:val="20"/>
        </w:rPr>
      </w:pPr>
    </w:p>
    <w:p w14:paraId="63E46841" w14:textId="44509F2F" w:rsidR="002A5974" w:rsidRPr="00AC213D" w:rsidRDefault="009C58DD" w:rsidP="00DB5930">
      <w:pPr>
        <w:pStyle w:val="Paragraphedeliste"/>
        <w:numPr>
          <w:ilvl w:val="0"/>
          <w:numId w:val="2"/>
        </w:numPr>
        <w:rPr>
          <w:i/>
          <w:sz w:val="24"/>
          <w:u w:val="single"/>
        </w:rPr>
      </w:pPr>
      <w:r w:rsidRPr="00AC213D">
        <w:rPr>
          <w:i/>
          <w:sz w:val="24"/>
          <w:u w:val="single"/>
        </w:rPr>
        <w:t xml:space="preserve">Déroulé </w:t>
      </w:r>
      <w:r w:rsidR="00F10637" w:rsidRPr="00AC213D">
        <w:rPr>
          <w:i/>
          <w:sz w:val="24"/>
          <w:u w:val="single"/>
        </w:rPr>
        <w:t xml:space="preserve">spécifique </w:t>
      </w:r>
      <w:r w:rsidRPr="00AC213D">
        <w:rPr>
          <w:i/>
          <w:sz w:val="24"/>
          <w:u w:val="single"/>
        </w:rPr>
        <w:t>de l’entretien</w:t>
      </w:r>
      <w:r w:rsidR="00564E59" w:rsidRPr="00564E59">
        <w:rPr>
          <w:i/>
          <w:sz w:val="24"/>
        </w:rPr>
        <w:t> :</w:t>
      </w:r>
    </w:p>
    <w:p w14:paraId="4C80788E" w14:textId="77777777" w:rsidR="00F10637" w:rsidRPr="00AC213D" w:rsidRDefault="00F10637" w:rsidP="00F10637">
      <w:pPr>
        <w:pStyle w:val="Paragraphedeliste"/>
        <w:rPr>
          <w:b/>
        </w:rPr>
      </w:pPr>
    </w:p>
    <w:p w14:paraId="779DAB7C" w14:textId="77777777" w:rsidR="002D2696" w:rsidRDefault="009C58DD" w:rsidP="00DB5930">
      <w:pPr>
        <w:pStyle w:val="Paragraphedeliste"/>
        <w:numPr>
          <w:ilvl w:val="0"/>
          <w:numId w:val="6"/>
        </w:numPr>
        <w:jc w:val="both"/>
      </w:pPr>
      <w:r w:rsidRPr="00AC213D">
        <w:t xml:space="preserve">Recherche de signes éventuels pouvant témoigner d’une </w:t>
      </w:r>
      <w:r w:rsidRPr="00AC213D">
        <w:rPr>
          <w:b/>
        </w:rPr>
        <w:t xml:space="preserve">infection </w:t>
      </w:r>
      <w:r w:rsidRPr="00AC213D">
        <w:t>(fièvre, syndrome inflammatoire, signes généraux…)</w:t>
      </w:r>
      <w:r w:rsidR="00687B8C" w:rsidRPr="00AC213D">
        <w:t>. Problème d’</w:t>
      </w:r>
      <w:r w:rsidR="00687B8C" w:rsidRPr="00AC213D">
        <w:rPr>
          <w:b/>
        </w:rPr>
        <w:t xml:space="preserve">infections chroniques </w:t>
      </w:r>
      <w:r w:rsidR="00687B8C" w:rsidRPr="00AC213D">
        <w:t xml:space="preserve">ou de </w:t>
      </w:r>
      <w:r w:rsidR="00687B8C" w:rsidRPr="00AC213D">
        <w:rPr>
          <w:b/>
        </w:rPr>
        <w:t xml:space="preserve">réactions </w:t>
      </w:r>
      <w:r w:rsidR="00DE0E3D">
        <w:rPr>
          <w:b/>
        </w:rPr>
        <w:t xml:space="preserve">irritatives ou </w:t>
      </w:r>
      <w:r w:rsidR="00687B8C" w:rsidRPr="00AC213D">
        <w:rPr>
          <w:b/>
        </w:rPr>
        <w:t>allergiques</w:t>
      </w:r>
      <w:r w:rsidR="00687B8C" w:rsidRPr="00AC213D">
        <w:t xml:space="preserve"> (rhinites, asthmes ou pneumopathies d'hypersensibilité) ?</w:t>
      </w:r>
      <w:r w:rsidR="00F10637" w:rsidRPr="00AC213D">
        <w:t xml:space="preserve"> </w:t>
      </w:r>
    </w:p>
    <w:p w14:paraId="71EE70DE" w14:textId="7D6F8FFF" w:rsidR="004452E1" w:rsidRDefault="00F10637" w:rsidP="004452E1">
      <w:pPr>
        <w:pStyle w:val="Paragraphedeliste"/>
        <w:numPr>
          <w:ilvl w:val="1"/>
          <w:numId w:val="10"/>
        </w:numPr>
        <w:jc w:val="both"/>
      </w:pPr>
      <w:r w:rsidRPr="00AC213D">
        <w:t>Si problème infectieux a</w:t>
      </w:r>
      <w:r w:rsidR="002D2696">
        <w:t xml:space="preserve">u moment de l’entretien, </w:t>
      </w:r>
      <w:r w:rsidR="00DE0E3D">
        <w:t>possibilité d’</w:t>
      </w:r>
      <w:r w:rsidR="002D2696">
        <w:t>orienter</w:t>
      </w:r>
      <w:r w:rsidRPr="00AC213D">
        <w:t xml:space="preserve"> le salarié vers </w:t>
      </w:r>
      <w:r w:rsidR="00395FF3">
        <w:t>le</w:t>
      </w:r>
      <w:r w:rsidRPr="00AC213D">
        <w:t xml:space="preserve"> médecin traitant avec un courrier.</w:t>
      </w:r>
    </w:p>
    <w:p w14:paraId="76C8B452" w14:textId="05B4535B" w:rsidR="009C58DD" w:rsidRPr="00AC213D" w:rsidRDefault="00F10637" w:rsidP="004452E1">
      <w:pPr>
        <w:pStyle w:val="Paragraphedeliste"/>
        <w:numPr>
          <w:ilvl w:val="1"/>
          <w:numId w:val="10"/>
        </w:numPr>
        <w:jc w:val="both"/>
      </w:pPr>
      <w:r w:rsidRPr="00AC213D">
        <w:t>Si problème d’infections chroniques ou de réactions</w:t>
      </w:r>
      <w:r w:rsidR="00DE0E3D">
        <w:t xml:space="preserve"> irritatives ou</w:t>
      </w:r>
      <w:r w:rsidRPr="00AC213D">
        <w:t xml:space="preserve"> allergiques liées au contact avec des agents biologiques, réorienter le salarié vers le médecin du travail.</w:t>
      </w:r>
    </w:p>
    <w:p w14:paraId="1B3DBF7D" w14:textId="77777777" w:rsidR="004F2FB3" w:rsidRDefault="004F2FB3" w:rsidP="004F2FB3">
      <w:pPr>
        <w:pStyle w:val="Paragraphedeliste"/>
        <w:ind w:left="360"/>
        <w:jc w:val="both"/>
      </w:pPr>
    </w:p>
    <w:p w14:paraId="4CB360F8" w14:textId="2AE7CBD1" w:rsidR="004F2FB3" w:rsidRDefault="004F2FB3" w:rsidP="00DB5930">
      <w:pPr>
        <w:pStyle w:val="Paragraphedeliste"/>
        <w:numPr>
          <w:ilvl w:val="0"/>
          <w:numId w:val="6"/>
        </w:numPr>
        <w:jc w:val="both"/>
      </w:pPr>
      <w:r>
        <w:t>Faire le point sur l’éventuel impact de la santé ou des traitements sur les défenses immunitaires du salarié (maladie chronique ? Traitement immunosuppresseurs ?...)</w:t>
      </w:r>
    </w:p>
    <w:p w14:paraId="4EE26DF6" w14:textId="77777777" w:rsidR="004F2FB3" w:rsidRDefault="004F2FB3" w:rsidP="004F2FB3">
      <w:pPr>
        <w:pStyle w:val="Paragraphedeliste"/>
      </w:pPr>
    </w:p>
    <w:p w14:paraId="1982ED9D" w14:textId="316B4E40" w:rsidR="004F2FB3" w:rsidRDefault="004F2FB3" w:rsidP="004F2FB3">
      <w:pPr>
        <w:pStyle w:val="Paragraphedeliste"/>
        <w:numPr>
          <w:ilvl w:val="0"/>
          <w:numId w:val="6"/>
        </w:numPr>
      </w:pPr>
      <w:r w:rsidRPr="004F2FB3">
        <w:t xml:space="preserve">Faire le point sur les </w:t>
      </w:r>
      <w:r w:rsidRPr="00395FF3">
        <w:rPr>
          <w:b/>
          <w:bCs/>
        </w:rPr>
        <w:t>vaccins et les sérologies obligatoires</w:t>
      </w:r>
      <w:r w:rsidRPr="004F2FB3">
        <w:t xml:space="preserve"> en fonction du poste du salarié (cf. calendrier vaccinal)</w:t>
      </w:r>
      <w:r w:rsidR="00395FF3">
        <w:t> :</w:t>
      </w:r>
    </w:p>
    <w:p w14:paraId="1B5C3781" w14:textId="4C919D59" w:rsidR="00FC5D25" w:rsidRDefault="00FC5D25" w:rsidP="004452E1">
      <w:pPr>
        <w:pStyle w:val="Paragraphedeliste"/>
        <w:numPr>
          <w:ilvl w:val="1"/>
          <w:numId w:val="11"/>
        </w:numPr>
        <w:jc w:val="both"/>
      </w:pPr>
      <w:r>
        <w:t xml:space="preserve">Noter au minimum la </w:t>
      </w:r>
      <w:r w:rsidRPr="00395FF3">
        <w:rPr>
          <w:b/>
          <w:bCs/>
        </w:rPr>
        <w:t>dernière date du DTP</w:t>
      </w:r>
      <w:r>
        <w:t xml:space="preserve"> et toutes les injections vaccin hépatite B, et le résultat du dernier test tuberculinique.</w:t>
      </w:r>
    </w:p>
    <w:p w14:paraId="54F2F246" w14:textId="54CAF882" w:rsidR="00E678F1" w:rsidRPr="00E678F1" w:rsidRDefault="00F10637" w:rsidP="004452E1">
      <w:pPr>
        <w:pStyle w:val="Paragraphedeliste"/>
        <w:numPr>
          <w:ilvl w:val="1"/>
          <w:numId w:val="11"/>
        </w:numPr>
        <w:jc w:val="both"/>
      </w:pPr>
      <w:r w:rsidRPr="00AC213D">
        <w:t>Si la vaccination n’est pas à jour</w:t>
      </w:r>
      <w:r w:rsidR="00E678F1">
        <w:t> </w:t>
      </w:r>
      <w:r w:rsidR="00395FF3">
        <w:t>=&gt;</w:t>
      </w:r>
      <w:r w:rsidR="00E678F1">
        <w:t xml:space="preserve"> adresser au médecin traitant.</w:t>
      </w:r>
      <w:r w:rsidRPr="002D2696">
        <w:rPr>
          <w:color w:val="000000" w:themeColor="text1"/>
        </w:rPr>
        <w:t xml:space="preserve"> </w:t>
      </w:r>
    </w:p>
    <w:p w14:paraId="0373D917" w14:textId="39EED3AC" w:rsidR="004452E1" w:rsidRDefault="00E678F1" w:rsidP="004452E1">
      <w:pPr>
        <w:pStyle w:val="Paragraphedeliste"/>
        <w:numPr>
          <w:ilvl w:val="1"/>
          <w:numId w:val="11"/>
        </w:numPr>
        <w:jc w:val="both"/>
      </w:pPr>
      <w:r>
        <w:rPr>
          <w:color w:val="000000" w:themeColor="text1"/>
        </w:rPr>
        <w:t xml:space="preserve">Si </w:t>
      </w:r>
      <w:r w:rsidR="00FC5D25">
        <w:rPr>
          <w:color w:val="000000" w:themeColor="text1"/>
        </w:rPr>
        <w:t>absence de</w:t>
      </w:r>
      <w:r w:rsidR="00F10637" w:rsidRPr="002D2696">
        <w:rPr>
          <w:color w:val="000000" w:themeColor="text1"/>
        </w:rPr>
        <w:t xml:space="preserve"> </w:t>
      </w:r>
      <w:r w:rsidR="00F10637" w:rsidRPr="00625D02">
        <w:rPr>
          <w:b/>
          <w:bCs/>
          <w:color w:val="000000" w:themeColor="text1"/>
        </w:rPr>
        <w:t>sérologie</w:t>
      </w:r>
      <w:r w:rsidRPr="00625D02">
        <w:rPr>
          <w:b/>
          <w:bCs/>
          <w:color w:val="000000" w:themeColor="text1"/>
        </w:rPr>
        <w:t xml:space="preserve"> Hépatite B</w:t>
      </w:r>
      <w:r w:rsidR="00F10637" w:rsidRPr="00AC213D">
        <w:t xml:space="preserve">, une ordonnance </w:t>
      </w:r>
      <w:r>
        <w:t xml:space="preserve">type </w:t>
      </w:r>
      <w:r w:rsidR="00F10637" w:rsidRPr="00AC213D">
        <w:t xml:space="preserve">sera </w:t>
      </w:r>
      <w:r>
        <w:t>donnée a</w:t>
      </w:r>
      <w:r w:rsidR="00F10637" w:rsidRPr="00AC213D">
        <w:t>u salarié.</w:t>
      </w:r>
    </w:p>
    <w:p w14:paraId="7083BD16" w14:textId="577AB5E1" w:rsidR="00F10637" w:rsidRDefault="00EA4DB3" w:rsidP="004452E1">
      <w:pPr>
        <w:pStyle w:val="Paragraphedeliste"/>
        <w:numPr>
          <w:ilvl w:val="1"/>
          <w:numId w:val="11"/>
        </w:numPr>
        <w:jc w:val="both"/>
      </w:pPr>
      <w:r>
        <w:t>Information sur</w:t>
      </w:r>
      <w:r w:rsidR="00951C4B">
        <w:t xml:space="preserve"> le </w:t>
      </w:r>
      <w:r w:rsidR="00951C4B" w:rsidRPr="00951C4B">
        <w:rPr>
          <w:b/>
        </w:rPr>
        <w:t>vaccin contre la leptospirose</w:t>
      </w:r>
      <w:r w:rsidR="00951C4B">
        <w:t xml:space="preserve"> aux salariés exposés (</w:t>
      </w:r>
      <w:r w:rsidR="00625D02">
        <w:t xml:space="preserve">vaccination </w:t>
      </w:r>
      <w:r w:rsidR="00951C4B">
        <w:t>tous les 2 ans).</w:t>
      </w:r>
      <w:r>
        <w:t xml:space="preserve"> Informer sur la nécessité de rappeler</w:t>
      </w:r>
      <w:r w:rsidR="00625D02">
        <w:t>,</w:t>
      </w:r>
      <w:r>
        <w:t xml:space="preserve"> lors d’éventuels soins</w:t>
      </w:r>
      <w:r w:rsidR="00625D02">
        <w:t>,</w:t>
      </w:r>
      <w:r>
        <w:t xml:space="preserve"> l’exposition aux eaux usées.</w:t>
      </w:r>
    </w:p>
    <w:p w14:paraId="08F9F0ED" w14:textId="77777777" w:rsidR="00707220" w:rsidRPr="00AC213D" w:rsidRDefault="00707220" w:rsidP="00707220">
      <w:pPr>
        <w:pStyle w:val="Paragraphedeliste"/>
      </w:pPr>
    </w:p>
    <w:p w14:paraId="779C785B" w14:textId="77777777" w:rsidR="00707220" w:rsidRPr="00AC213D" w:rsidRDefault="00707220" w:rsidP="00DB5930">
      <w:pPr>
        <w:pStyle w:val="Paragraphedeliste"/>
        <w:numPr>
          <w:ilvl w:val="0"/>
          <w:numId w:val="6"/>
        </w:numPr>
        <w:jc w:val="both"/>
      </w:pPr>
      <w:r w:rsidRPr="00AC213D">
        <w:rPr>
          <w:b/>
        </w:rPr>
        <w:t xml:space="preserve">AES </w:t>
      </w:r>
      <w:r w:rsidRPr="00AC213D">
        <w:t xml:space="preserve">(Accident d’Exposition au Sang) depuis </w:t>
      </w:r>
      <w:r w:rsidR="00515240" w:rsidRPr="00AC213D">
        <w:t xml:space="preserve">la </w:t>
      </w:r>
      <w:r w:rsidRPr="00AC213D">
        <w:t>dernière visite en Santé au Travail ? Connaissance d’un protocole interne en cas</w:t>
      </w:r>
      <w:r w:rsidR="00687B8C" w:rsidRPr="00AC213D">
        <w:t xml:space="preserve"> d’AES (affichage, formation…) ?</w:t>
      </w:r>
    </w:p>
    <w:p w14:paraId="48C2271B" w14:textId="77777777" w:rsidR="002A5974" w:rsidRPr="00AC213D" w:rsidRDefault="002A5974" w:rsidP="002A5974">
      <w:pPr>
        <w:pStyle w:val="Paragraphedeliste"/>
        <w:ind w:left="360"/>
        <w:jc w:val="both"/>
      </w:pPr>
    </w:p>
    <w:p w14:paraId="5B630DF3" w14:textId="142AE4FC" w:rsidR="002A5974" w:rsidRPr="00AC213D" w:rsidRDefault="00695DF9" w:rsidP="00DB5930">
      <w:pPr>
        <w:pStyle w:val="Paragraphedeliste"/>
        <w:numPr>
          <w:ilvl w:val="0"/>
          <w:numId w:val="6"/>
        </w:numPr>
        <w:jc w:val="both"/>
      </w:pPr>
      <w:r w:rsidRPr="00AC213D">
        <w:rPr>
          <w:b/>
        </w:rPr>
        <w:t>Prévention collective</w:t>
      </w:r>
      <w:r w:rsidR="002D2696">
        <w:rPr>
          <w:b/>
        </w:rPr>
        <w:t> ?</w:t>
      </w:r>
      <w:r w:rsidR="001B0980" w:rsidRPr="00AC213D">
        <w:t xml:space="preserve"> =</w:t>
      </w:r>
      <w:r w:rsidRPr="00AC213D">
        <w:t xml:space="preserve">&gt; signalisation (risques et conduites à tenir en cas d’accident…), </w:t>
      </w:r>
      <w:r w:rsidR="004452E1">
        <w:t>s</w:t>
      </w:r>
      <w:r w:rsidRPr="00AC213D">
        <w:t xml:space="preserve">orbonne en laboratoire, mesures d’hygiène, conteneur adapté pour la collecte des déchets, local sécurisé pour les déchets médicaux </w:t>
      </w:r>
      <w:r w:rsidR="00B5416A" w:rsidRPr="00AC213D">
        <w:t>(</w:t>
      </w:r>
      <w:r w:rsidR="00B5416A" w:rsidRPr="00AC213D">
        <w:rPr>
          <w:i/>
        </w:rPr>
        <w:t>Arrêté du 7 septembre 1999 relatif aux modalités d’entreposage des déchets d’activités de soins à risques infectieux et assimilés et des pièces anatomiques</w:t>
      </w:r>
      <w:r w:rsidR="00B5416A" w:rsidRPr="00AC213D">
        <w:t>), information et formation du personnel (risques, hygiène, conduit</w:t>
      </w:r>
      <w:r w:rsidR="00687B8C" w:rsidRPr="00AC213D">
        <w:t>es à tenir en cas d’accident…)</w:t>
      </w:r>
      <w:r w:rsidR="004452E1">
        <w:t> ?</w:t>
      </w:r>
    </w:p>
    <w:p w14:paraId="021B06A3" w14:textId="77777777" w:rsidR="002A5974" w:rsidRPr="00AC213D" w:rsidRDefault="002A5974" w:rsidP="002A5974">
      <w:pPr>
        <w:pStyle w:val="Paragraphedeliste"/>
        <w:ind w:left="360"/>
        <w:jc w:val="both"/>
      </w:pPr>
    </w:p>
    <w:p w14:paraId="61DA4925" w14:textId="16DB8281" w:rsidR="00B5416A" w:rsidRDefault="00B5416A" w:rsidP="00DB5930">
      <w:pPr>
        <w:pStyle w:val="Paragraphedeliste"/>
        <w:numPr>
          <w:ilvl w:val="0"/>
          <w:numId w:val="6"/>
        </w:numPr>
        <w:jc w:val="both"/>
      </w:pPr>
      <w:r w:rsidRPr="00AC213D">
        <w:rPr>
          <w:b/>
        </w:rPr>
        <w:t>Protection individuelle</w:t>
      </w:r>
      <w:r w:rsidR="002D2696">
        <w:rPr>
          <w:b/>
        </w:rPr>
        <w:t> ?</w:t>
      </w:r>
      <w:r w:rsidRPr="00AC213D">
        <w:t xml:space="preserve"> =&gt; présence et port des EPI, hygiène individuelle, respe</w:t>
      </w:r>
      <w:r w:rsidR="00687B8C" w:rsidRPr="00AC213D">
        <w:t>ct des procédures de sécurité…</w:t>
      </w:r>
      <w:r w:rsidR="004452E1">
        <w:t> ?</w:t>
      </w:r>
    </w:p>
    <w:p w14:paraId="3659B41D" w14:textId="77777777" w:rsidR="004F2FB3" w:rsidRDefault="004F2FB3" w:rsidP="004F2FB3">
      <w:pPr>
        <w:pStyle w:val="Paragraphedeliste"/>
      </w:pPr>
    </w:p>
    <w:p w14:paraId="7E2A4303" w14:textId="1AF6E52B" w:rsidR="004F2FB3" w:rsidRDefault="004F2FB3" w:rsidP="00DB5930">
      <w:pPr>
        <w:pStyle w:val="Paragraphedeliste"/>
        <w:numPr>
          <w:ilvl w:val="0"/>
          <w:numId w:val="6"/>
        </w:numPr>
        <w:jc w:val="both"/>
      </w:pPr>
      <w:r>
        <w:t xml:space="preserve">Quelle connaissance </w:t>
      </w:r>
      <w:r w:rsidR="008F0D86">
        <w:t>spontanée</w:t>
      </w:r>
      <w:r>
        <w:t xml:space="preserve"> des risques </w:t>
      </w:r>
      <w:r w:rsidR="008F0D86">
        <w:t xml:space="preserve">professionnels : sont-ils bien connus, compris, appréhendés ? </w:t>
      </w:r>
    </w:p>
    <w:p w14:paraId="173705B4" w14:textId="0CA7B0ED" w:rsidR="00680D61" w:rsidRDefault="00680D61" w:rsidP="00680D61">
      <w:pPr>
        <w:pStyle w:val="Paragraphedeliste"/>
      </w:pPr>
    </w:p>
    <w:p w14:paraId="183B3523" w14:textId="32724CAB" w:rsidR="00D566B9" w:rsidRDefault="00D566B9" w:rsidP="00680D61">
      <w:pPr>
        <w:pStyle w:val="Paragraphedeliste"/>
      </w:pPr>
    </w:p>
    <w:p w14:paraId="65F40480" w14:textId="5D5D8E2C" w:rsidR="00D566B9" w:rsidRDefault="00D566B9" w:rsidP="00680D61">
      <w:pPr>
        <w:pStyle w:val="Paragraphedeliste"/>
      </w:pPr>
    </w:p>
    <w:p w14:paraId="6924087F" w14:textId="2666DA2A" w:rsidR="00D566B9" w:rsidRDefault="00D566B9" w:rsidP="00680D61">
      <w:pPr>
        <w:pStyle w:val="Paragraphedeliste"/>
      </w:pPr>
    </w:p>
    <w:p w14:paraId="52CC318F" w14:textId="7E960C8B" w:rsidR="00D566B9" w:rsidRDefault="00D566B9" w:rsidP="00680D61">
      <w:pPr>
        <w:pStyle w:val="Paragraphedeliste"/>
      </w:pPr>
    </w:p>
    <w:p w14:paraId="39A63143" w14:textId="77777777" w:rsidR="00CA0262" w:rsidRPr="00564E59" w:rsidRDefault="00CA0262" w:rsidP="00CA0262">
      <w:pPr>
        <w:pStyle w:val="Paragraphedeliste"/>
        <w:numPr>
          <w:ilvl w:val="0"/>
          <w:numId w:val="2"/>
        </w:numPr>
        <w:rPr>
          <w:i/>
          <w:sz w:val="24"/>
          <w:u w:val="single"/>
        </w:rPr>
      </w:pPr>
      <w:r w:rsidRPr="00564E59">
        <w:rPr>
          <w:i/>
          <w:sz w:val="24"/>
          <w:u w:val="single"/>
        </w:rPr>
        <w:t>Examens complémentaires</w:t>
      </w:r>
      <w:r w:rsidRPr="00564E59">
        <w:rPr>
          <w:i/>
          <w:sz w:val="24"/>
        </w:rPr>
        <w:t xml:space="preserve"> :</w:t>
      </w:r>
    </w:p>
    <w:p w14:paraId="37BCAAD0" w14:textId="77777777" w:rsidR="00CA0262" w:rsidRPr="00FC5D25" w:rsidRDefault="00CA0262" w:rsidP="00CA0262">
      <w:pPr>
        <w:pStyle w:val="Paragraphedeliste"/>
        <w:rPr>
          <w:i/>
          <w:sz w:val="24"/>
          <w:u w:val="single"/>
        </w:rPr>
      </w:pPr>
    </w:p>
    <w:p w14:paraId="5BF1AE60" w14:textId="30BC4C32" w:rsidR="00CA0262" w:rsidRDefault="00CA0262" w:rsidP="0026749F">
      <w:pPr>
        <w:pStyle w:val="Paragraphedeliste"/>
        <w:numPr>
          <w:ilvl w:val="0"/>
          <w:numId w:val="9"/>
        </w:numPr>
        <w:ind w:left="284"/>
        <w:jc w:val="both"/>
      </w:pPr>
      <w:r>
        <w:t>Sérologie Hépatite B </w:t>
      </w:r>
      <w:r w:rsidR="00746C35">
        <w:t>obligatoire</w:t>
      </w:r>
      <w:r>
        <w:t xml:space="preserve"> pour </w:t>
      </w:r>
      <w:r w:rsidR="00746C35">
        <w:t xml:space="preserve">salarié travaillant dans </w:t>
      </w:r>
      <w:r>
        <w:t>les soins à la personne</w:t>
      </w:r>
      <w:r w:rsidR="00746C35">
        <w:t> (cf. annexes)</w:t>
      </w:r>
      <w:r w:rsidR="0026749F">
        <w:t xml:space="preserve"> </w:t>
      </w:r>
      <w:r w:rsidR="00746C35">
        <w:t>:</w:t>
      </w:r>
    </w:p>
    <w:p w14:paraId="18A4DFA1" w14:textId="200075EB" w:rsidR="00625D02" w:rsidRDefault="00CA0262" w:rsidP="0026749F">
      <w:pPr>
        <w:pStyle w:val="Paragraphedeliste"/>
        <w:numPr>
          <w:ilvl w:val="0"/>
          <w:numId w:val="14"/>
        </w:numPr>
        <w:ind w:left="284" w:hanging="283"/>
        <w:jc w:val="both"/>
      </w:pPr>
      <w:r>
        <w:t>Si le salarié n’a pas été vacciné ou incomplètement</w:t>
      </w:r>
      <w:r w:rsidR="00625D02">
        <w:t xml:space="preserve">, </w:t>
      </w:r>
      <w:r>
        <w:t>on l’adresse au médecin traitant.</w:t>
      </w:r>
    </w:p>
    <w:p w14:paraId="1A798DB2" w14:textId="0435A26D" w:rsidR="00CA0262" w:rsidRDefault="00CA0262" w:rsidP="0026749F">
      <w:pPr>
        <w:pStyle w:val="Paragraphedeliste"/>
        <w:numPr>
          <w:ilvl w:val="0"/>
          <w:numId w:val="14"/>
        </w:numPr>
        <w:ind w:left="284" w:hanging="283"/>
        <w:jc w:val="both"/>
      </w:pPr>
      <w:r>
        <w:t>Si le salarié a bien été correctement vacciné pour l’hépatite B (au moins 3 injections) :</w:t>
      </w:r>
    </w:p>
    <w:p w14:paraId="631C4A31" w14:textId="4F57191C" w:rsidR="00625D02" w:rsidRDefault="00CA0262" w:rsidP="0026749F">
      <w:pPr>
        <w:pStyle w:val="Paragraphedeliste"/>
        <w:numPr>
          <w:ilvl w:val="4"/>
          <w:numId w:val="11"/>
        </w:numPr>
        <w:ind w:left="284" w:hanging="218"/>
        <w:jc w:val="both"/>
      </w:pPr>
      <w:r>
        <w:t xml:space="preserve"> Si pas de résultat disponible, donner l’ordonnance de dosage des anticorps </w:t>
      </w:r>
    </w:p>
    <w:p w14:paraId="4BF355F2" w14:textId="6606A800" w:rsidR="00CA0262" w:rsidRDefault="00CA0262" w:rsidP="0026749F">
      <w:pPr>
        <w:pStyle w:val="Paragraphedeliste"/>
        <w:numPr>
          <w:ilvl w:val="4"/>
          <w:numId w:val="11"/>
        </w:numPr>
        <w:ind w:left="284" w:hanging="218"/>
        <w:jc w:val="both"/>
      </w:pPr>
      <w:r>
        <w:t>Si résultat apporté par le salarié</w:t>
      </w:r>
      <w:r w:rsidR="00625D02">
        <w:t xml:space="preserve">, </w:t>
      </w:r>
      <w:r>
        <w:t>2 cas :</w:t>
      </w:r>
    </w:p>
    <w:p w14:paraId="774698FE" w14:textId="77777777" w:rsidR="00CA0262" w:rsidRDefault="00CA0262" w:rsidP="0026749F">
      <w:pPr>
        <w:pStyle w:val="Paragraphedeliste"/>
        <w:numPr>
          <w:ilvl w:val="0"/>
          <w:numId w:val="8"/>
        </w:numPr>
        <w:ind w:left="284" w:hanging="284"/>
        <w:jc w:val="both"/>
      </w:pPr>
      <w:r>
        <w:t xml:space="preserve">Si sérologie </w:t>
      </w:r>
      <w:proofErr w:type="spellStart"/>
      <w:r w:rsidRPr="00DA1CFD">
        <w:rPr>
          <w:b/>
        </w:rPr>
        <w:t>Ac</w:t>
      </w:r>
      <w:proofErr w:type="spellEnd"/>
      <w:r w:rsidRPr="00DA1CFD">
        <w:rPr>
          <w:b/>
        </w:rPr>
        <w:t xml:space="preserve"> Anti-HBS ≥ 10 UI/L</w:t>
      </w:r>
      <w:r>
        <w:t xml:space="preserve">, le salarié sera considéré comme </w:t>
      </w:r>
      <w:r w:rsidRPr="00625D02">
        <w:rPr>
          <w:b/>
          <w:bCs/>
        </w:rPr>
        <w:t>immunisé</w:t>
      </w:r>
      <w:r>
        <w:t>.</w:t>
      </w:r>
    </w:p>
    <w:p w14:paraId="6A683957" w14:textId="5BCCB8BA" w:rsidR="00CA0262" w:rsidRDefault="00CA0262" w:rsidP="0026749F">
      <w:pPr>
        <w:pStyle w:val="Paragraphedeliste"/>
        <w:numPr>
          <w:ilvl w:val="0"/>
          <w:numId w:val="8"/>
        </w:numPr>
        <w:ind w:left="284" w:hanging="284"/>
        <w:jc w:val="both"/>
      </w:pPr>
      <w:r>
        <w:t xml:space="preserve">Si sérologie </w:t>
      </w:r>
      <w:r w:rsidRPr="00C57928">
        <w:rPr>
          <w:b/>
          <w:bCs/>
        </w:rPr>
        <w:t>&lt; 10</w:t>
      </w:r>
      <w:r>
        <w:rPr>
          <w:b/>
          <w:bCs/>
        </w:rPr>
        <w:t xml:space="preserve"> </w:t>
      </w:r>
      <w:r w:rsidRPr="00C57928">
        <w:rPr>
          <w:b/>
          <w:bCs/>
        </w:rPr>
        <w:t>UI/L</w:t>
      </w:r>
      <w:r>
        <w:t xml:space="preserve">, </w:t>
      </w:r>
      <w:r w:rsidR="00625D02">
        <w:t>orientation vers le</w:t>
      </w:r>
      <w:r>
        <w:t xml:space="preserve"> médecin traitant </w:t>
      </w:r>
      <w:r w:rsidRPr="00625D02">
        <w:rPr>
          <w:b/>
          <w:bCs/>
        </w:rPr>
        <w:t>pour rappel vaccinal</w:t>
      </w:r>
      <w:r>
        <w:t>.</w:t>
      </w:r>
    </w:p>
    <w:p w14:paraId="3B6C9C31" w14:textId="77777777" w:rsidR="00CA0262" w:rsidRPr="00CD5515" w:rsidRDefault="00CA0262" w:rsidP="0026749F">
      <w:pPr>
        <w:pStyle w:val="Paragraphedeliste"/>
        <w:ind w:left="284"/>
        <w:jc w:val="both"/>
      </w:pPr>
    </w:p>
    <w:p w14:paraId="50B0D89E" w14:textId="200E3891" w:rsidR="00CA0262" w:rsidRDefault="00CA0262" w:rsidP="0026749F">
      <w:pPr>
        <w:pStyle w:val="Paragraphedeliste"/>
        <w:numPr>
          <w:ilvl w:val="0"/>
          <w:numId w:val="7"/>
        </w:numPr>
        <w:ind w:left="284"/>
        <w:jc w:val="both"/>
      </w:pPr>
      <w:r w:rsidRPr="00E010C8">
        <w:rPr>
          <w:b/>
          <w:bCs/>
        </w:rPr>
        <w:t>Autres sérologies</w:t>
      </w:r>
      <w:r>
        <w:t xml:space="preserve"> : informer des risques </w:t>
      </w:r>
      <w:r w:rsidRPr="00AC213D">
        <w:t>(rubéole, toxoplasmose ou CMV</w:t>
      </w:r>
      <w:r>
        <w:t>)</w:t>
      </w:r>
      <w:r w:rsidRPr="00AC213D">
        <w:t xml:space="preserve"> </w:t>
      </w:r>
      <w:r>
        <w:t>l</w:t>
      </w:r>
      <w:r w:rsidRPr="00AC213D">
        <w:t>es femmes en âge de procréer</w:t>
      </w:r>
      <w:r>
        <w:t> (</w:t>
      </w:r>
      <w:r w:rsidRPr="00E010C8">
        <w:rPr>
          <w:i/>
          <w:iCs/>
        </w:rPr>
        <w:t>Ex :</w:t>
      </w:r>
      <w:r>
        <w:rPr>
          <w:i/>
          <w:iCs/>
        </w:rPr>
        <w:t xml:space="preserve"> </w:t>
      </w:r>
      <w:r w:rsidRPr="00E010C8">
        <w:rPr>
          <w:i/>
          <w:iCs/>
        </w:rPr>
        <w:t>toxo</w:t>
      </w:r>
      <w:r>
        <w:rPr>
          <w:i/>
          <w:iCs/>
        </w:rPr>
        <w:t>plasmose</w:t>
      </w:r>
      <w:r w:rsidRPr="00E010C8">
        <w:rPr>
          <w:i/>
          <w:iCs/>
        </w:rPr>
        <w:t xml:space="preserve"> pour vétérinaire</w:t>
      </w:r>
      <w:r w:rsidR="00625D02">
        <w:rPr>
          <w:i/>
          <w:iCs/>
        </w:rPr>
        <w:t>s</w:t>
      </w:r>
      <w:r w:rsidRPr="00E010C8">
        <w:rPr>
          <w:i/>
          <w:iCs/>
        </w:rPr>
        <w:t xml:space="preserve"> et assistantes vétérinaires</w:t>
      </w:r>
      <w:r>
        <w:t>)</w:t>
      </w:r>
      <w:r w:rsidRPr="00AC213D">
        <w:t>.</w:t>
      </w:r>
    </w:p>
    <w:p w14:paraId="5C9CE073" w14:textId="77777777" w:rsidR="00746C35" w:rsidRDefault="00746C35" w:rsidP="0026749F">
      <w:pPr>
        <w:pStyle w:val="Paragraphedeliste"/>
        <w:ind w:left="284"/>
        <w:jc w:val="both"/>
      </w:pPr>
    </w:p>
    <w:p w14:paraId="2B7316EB" w14:textId="77777777" w:rsidR="00CA0262" w:rsidRPr="004E2DBB" w:rsidRDefault="00CA0262" w:rsidP="0026749F">
      <w:pPr>
        <w:pStyle w:val="Paragraphedeliste"/>
        <w:numPr>
          <w:ilvl w:val="0"/>
          <w:numId w:val="7"/>
        </w:numPr>
        <w:ind w:left="284"/>
        <w:jc w:val="both"/>
      </w:pPr>
      <w:r w:rsidRPr="004E2DBB">
        <w:t>Il n’est plus demandé de radio pulmonaire systématique</w:t>
      </w:r>
      <w:r>
        <w:t>.</w:t>
      </w:r>
    </w:p>
    <w:p w14:paraId="544DDFF1" w14:textId="19788181" w:rsidR="00CA0262" w:rsidRDefault="00CA0262" w:rsidP="00D566B9">
      <w:pPr>
        <w:ind w:left="66"/>
        <w:jc w:val="both"/>
      </w:pPr>
      <w:r>
        <w:t>On rappelle que l’infirmier peut réadresser le salarié au médecin référent dès qu’il en ressent le besoin, même sans signe objectif retrouvé.</w:t>
      </w:r>
    </w:p>
    <w:p w14:paraId="21097DF1" w14:textId="77777777" w:rsidR="006C1C49" w:rsidRPr="00AC213D" w:rsidRDefault="006C1C49" w:rsidP="00695DF9">
      <w:pPr>
        <w:pStyle w:val="Paragraphedeliste"/>
      </w:pPr>
    </w:p>
    <w:p w14:paraId="0431565A" w14:textId="31283F18" w:rsidR="0069790D" w:rsidRPr="00564E59" w:rsidRDefault="002211CE" w:rsidP="00DB5930">
      <w:pPr>
        <w:pStyle w:val="Paragraphedeliste"/>
        <w:numPr>
          <w:ilvl w:val="0"/>
          <w:numId w:val="2"/>
        </w:numPr>
        <w:rPr>
          <w:b/>
          <w:i/>
          <w:sz w:val="24"/>
          <w:u w:val="single"/>
        </w:rPr>
      </w:pPr>
      <w:r w:rsidRPr="00564E59">
        <w:rPr>
          <w:b/>
          <w:i/>
          <w:sz w:val="24"/>
          <w:u w:val="single"/>
        </w:rPr>
        <w:t>Périodicité de la visite</w:t>
      </w:r>
      <w:r w:rsidRPr="00564E59">
        <w:rPr>
          <w:b/>
          <w:i/>
          <w:sz w:val="24"/>
        </w:rPr>
        <w:t xml:space="preserve"> </w:t>
      </w:r>
      <w:r w:rsidR="00F56227" w:rsidRPr="00564E59">
        <w:rPr>
          <w:b/>
          <w:i/>
          <w:sz w:val="24"/>
        </w:rPr>
        <w:t>:</w:t>
      </w:r>
    </w:p>
    <w:p w14:paraId="42C3E325" w14:textId="77777777" w:rsidR="0026749F" w:rsidRDefault="0026749F" w:rsidP="00CA0262">
      <w:pPr>
        <w:pStyle w:val="Paragraphedeliste"/>
        <w:spacing w:after="0" w:line="240" w:lineRule="auto"/>
        <w:ind w:left="0"/>
        <w:rPr>
          <w:iCs/>
        </w:rPr>
      </w:pPr>
    </w:p>
    <w:p w14:paraId="32810503" w14:textId="4D4BD9E3" w:rsidR="00CA0262" w:rsidRPr="00625D02" w:rsidRDefault="00CA0262" w:rsidP="00CA0262">
      <w:pPr>
        <w:pStyle w:val="Paragraphedeliste"/>
        <w:spacing w:after="0" w:line="240" w:lineRule="auto"/>
        <w:ind w:left="0"/>
        <w:rPr>
          <w:iCs/>
        </w:rPr>
      </w:pPr>
      <w:r w:rsidRPr="00625D02">
        <w:rPr>
          <w:iCs/>
        </w:rPr>
        <w:t xml:space="preserve">Le premier examen (visite </w:t>
      </w:r>
      <w:r w:rsidR="00C66D82" w:rsidRPr="00625D02">
        <w:rPr>
          <w:iCs/>
        </w:rPr>
        <w:t>au moment de l’</w:t>
      </w:r>
      <w:r w:rsidRPr="00625D02">
        <w:rPr>
          <w:iCs/>
        </w:rPr>
        <w:t xml:space="preserve">embauche) sera noté </w:t>
      </w:r>
      <w:r w:rsidRPr="00625D02">
        <w:rPr>
          <w:rFonts w:cstheme="minorHAnsi"/>
          <w:iCs/>
        </w:rPr>
        <w:t>"</w:t>
      </w:r>
      <w:r w:rsidRPr="00625D02">
        <w:rPr>
          <w:iCs/>
        </w:rPr>
        <w:t>Visite Information et Prévention Initiale SIR - IDEST (protocole expérimental accompagné par la DREETS)</w:t>
      </w:r>
      <w:r w:rsidRPr="00625D02">
        <w:rPr>
          <w:rFonts w:cstheme="minorHAnsi"/>
          <w:iCs/>
        </w:rPr>
        <w:t>"</w:t>
      </w:r>
      <w:r w:rsidRPr="00625D02">
        <w:rPr>
          <w:iCs/>
        </w:rPr>
        <w:t xml:space="preserve"> dans Préventiel.</w:t>
      </w:r>
    </w:p>
    <w:p w14:paraId="6FEDD921" w14:textId="77777777" w:rsidR="0026749F" w:rsidRDefault="0026749F" w:rsidP="00CA0262">
      <w:pPr>
        <w:pStyle w:val="Paragraphedeliste"/>
        <w:spacing w:after="0" w:line="240" w:lineRule="auto"/>
        <w:ind w:left="0"/>
        <w:rPr>
          <w:iCs/>
        </w:rPr>
      </w:pPr>
    </w:p>
    <w:p w14:paraId="1AAA0D86" w14:textId="77777777" w:rsidR="00CA0262" w:rsidRPr="00625D02" w:rsidRDefault="00CA0262" w:rsidP="00CA0262">
      <w:pPr>
        <w:pStyle w:val="Paragraphedeliste"/>
        <w:spacing w:after="0" w:line="240" w:lineRule="auto"/>
        <w:ind w:left="0"/>
        <w:rPr>
          <w:iCs/>
        </w:rPr>
      </w:pPr>
      <w:r w:rsidRPr="00625D02">
        <w:rPr>
          <w:iCs/>
        </w:rPr>
        <w:t>Les examens suivants seront des entretiens périodiques.</w:t>
      </w:r>
    </w:p>
    <w:p w14:paraId="08D58175" w14:textId="77777777" w:rsidR="00CA0262" w:rsidRPr="00625D02" w:rsidRDefault="00CA0262" w:rsidP="00CA0262">
      <w:pPr>
        <w:pStyle w:val="Paragraphedeliste"/>
        <w:spacing w:after="0" w:line="240" w:lineRule="auto"/>
        <w:ind w:left="0"/>
        <w:rPr>
          <w:iCs/>
        </w:rPr>
      </w:pPr>
    </w:p>
    <w:p w14:paraId="01D42CB1" w14:textId="77777777" w:rsidR="00CA0262" w:rsidRPr="00625D02" w:rsidRDefault="00CA0262" w:rsidP="00CA0262">
      <w:pPr>
        <w:pStyle w:val="Paragraphedeliste"/>
        <w:spacing w:after="0" w:line="240" w:lineRule="auto"/>
        <w:rPr>
          <w:i/>
          <w:sz w:val="6"/>
          <w:u w:val="single"/>
        </w:rPr>
      </w:pPr>
    </w:p>
    <w:tbl>
      <w:tblPr>
        <w:tblStyle w:val="Grilledutableau"/>
        <w:tblW w:w="9214" w:type="dxa"/>
        <w:tblInd w:w="-147" w:type="dxa"/>
        <w:tblLook w:val="04A0" w:firstRow="1" w:lastRow="0" w:firstColumn="1" w:lastColumn="0" w:noHBand="0" w:noVBand="1"/>
      </w:tblPr>
      <w:tblGrid>
        <w:gridCol w:w="2836"/>
        <w:gridCol w:w="6378"/>
      </w:tblGrid>
      <w:tr w:rsidR="00625D02" w:rsidRPr="00625D02" w14:paraId="511D4CD5" w14:textId="77777777" w:rsidTr="00564E59">
        <w:trPr>
          <w:trHeight w:val="282"/>
        </w:trPr>
        <w:tc>
          <w:tcPr>
            <w:tcW w:w="2836" w:type="dxa"/>
            <w:vMerge w:val="restart"/>
            <w:shd w:val="clear" w:color="auto" w:fill="auto"/>
            <w:vAlign w:val="center"/>
          </w:tcPr>
          <w:p w14:paraId="43C324D8" w14:textId="29811043" w:rsidR="00CA0262" w:rsidRPr="00625D02" w:rsidRDefault="000D7FAC" w:rsidP="000D7FAC">
            <w:pPr>
              <w:pStyle w:val="Paragraphedeliste"/>
              <w:ind w:left="0"/>
              <w:jc w:val="center"/>
              <w:rPr>
                <w:b/>
                <w:bCs/>
              </w:rPr>
            </w:pPr>
            <w:bookmarkStart w:id="0" w:name="_GoBack" w:colFirst="0" w:colLast="0"/>
            <w:r w:rsidRPr="00625D02">
              <w:rPr>
                <w:b/>
                <w:bCs/>
              </w:rPr>
              <w:t>Agents biologiques des groupes 3 et 4</w:t>
            </w:r>
          </w:p>
        </w:tc>
        <w:tc>
          <w:tcPr>
            <w:tcW w:w="6378" w:type="dxa"/>
          </w:tcPr>
          <w:p w14:paraId="30694232" w14:textId="77777777" w:rsidR="00CA0262" w:rsidRPr="0026749F" w:rsidRDefault="00CA0262" w:rsidP="00CA0262">
            <w:pPr>
              <w:pStyle w:val="Paragraphedeliste"/>
              <w:numPr>
                <w:ilvl w:val="0"/>
                <w:numId w:val="13"/>
              </w:numPr>
              <w:suppressAutoHyphens/>
              <w:autoSpaceDN w:val="0"/>
              <w:textAlignment w:val="baseline"/>
              <w:rPr>
                <w:b/>
              </w:rPr>
            </w:pPr>
            <w:r w:rsidRPr="0026749F">
              <w:rPr>
                <w:b/>
                <w:iCs/>
              </w:rPr>
              <w:t>Visite Information et Prévention Initiale SIR - IDEST (protocole expérimental accompagné par la DREETS)</w:t>
            </w:r>
          </w:p>
        </w:tc>
      </w:tr>
      <w:tr w:rsidR="00625D02" w:rsidRPr="00625D02" w14:paraId="34889C0E" w14:textId="77777777" w:rsidTr="00564E59">
        <w:trPr>
          <w:trHeight w:val="282"/>
        </w:trPr>
        <w:tc>
          <w:tcPr>
            <w:tcW w:w="2836" w:type="dxa"/>
            <w:vMerge/>
            <w:shd w:val="clear" w:color="auto" w:fill="auto"/>
            <w:vAlign w:val="center"/>
          </w:tcPr>
          <w:p w14:paraId="6C196AF5" w14:textId="77777777" w:rsidR="00CA0262" w:rsidRPr="00625D02" w:rsidRDefault="00CA0262" w:rsidP="00564E59">
            <w:pPr>
              <w:ind w:left="-42"/>
              <w:rPr>
                <w:b/>
              </w:rPr>
            </w:pPr>
          </w:p>
        </w:tc>
        <w:tc>
          <w:tcPr>
            <w:tcW w:w="6378" w:type="dxa"/>
          </w:tcPr>
          <w:p w14:paraId="26292235" w14:textId="77777777" w:rsidR="00CA0262" w:rsidRPr="0026749F" w:rsidRDefault="00CA0262" w:rsidP="00CA0262">
            <w:pPr>
              <w:pStyle w:val="Paragraphedeliste"/>
              <w:numPr>
                <w:ilvl w:val="0"/>
                <w:numId w:val="13"/>
              </w:numPr>
              <w:suppressAutoHyphens/>
              <w:autoSpaceDN w:val="0"/>
              <w:textAlignment w:val="baseline"/>
              <w:rPr>
                <w:b/>
              </w:rPr>
            </w:pPr>
            <w:r w:rsidRPr="0026749F">
              <w:rPr>
                <w:b/>
              </w:rPr>
              <w:t>VI par les IDEST tous les 2 ans </w:t>
            </w:r>
          </w:p>
          <w:p w14:paraId="1311FFA2" w14:textId="4A848955" w:rsidR="00CA0262" w:rsidRPr="00625D02" w:rsidRDefault="00CA0262" w:rsidP="0026749F">
            <w:pPr>
              <w:pStyle w:val="Paragraphedeliste"/>
              <w:numPr>
                <w:ilvl w:val="0"/>
                <w:numId w:val="13"/>
              </w:numPr>
              <w:suppressAutoHyphens/>
              <w:autoSpaceDN w:val="0"/>
              <w:textAlignment w:val="baseline"/>
            </w:pPr>
            <w:r w:rsidRPr="00625D02">
              <w:t>Visite médicale si besoin (</w:t>
            </w:r>
            <w:proofErr w:type="spellStart"/>
            <w:r w:rsidRPr="00625D02">
              <w:t>cf</w:t>
            </w:r>
            <w:proofErr w:type="spellEnd"/>
            <w:r w:rsidRPr="00625D02">
              <w:t xml:space="preserve"> </w:t>
            </w:r>
            <w:r w:rsidR="0026749F">
              <w:t>ci-</w:t>
            </w:r>
            <w:r w:rsidRPr="00625D02">
              <w:t>après).</w:t>
            </w:r>
          </w:p>
        </w:tc>
      </w:tr>
      <w:bookmarkEnd w:id="0"/>
    </w:tbl>
    <w:p w14:paraId="7E3520E0" w14:textId="715CF4AF" w:rsidR="002211CE" w:rsidRDefault="002211CE" w:rsidP="002211CE">
      <w:pPr>
        <w:rPr>
          <w:iCs/>
          <w:sz w:val="24"/>
        </w:rPr>
      </w:pPr>
    </w:p>
    <w:p w14:paraId="77A41CC3" w14:textId="6CC0CC08" w:rsidR="00CA0262" w:rsidRPr="00564E59" w:rsidRDefault="00CA0262" w:rsidP="00CA0262">
      <w:pPr>
        <w:pStyle w:val="Paragraphedeliste"/>
        <w:numPr>
          <w:ilvl w:val="0"/>
          <w:numId w:val="2"/>
        </w:numPr>
        <w:spacing w:after="0" w:line="240" w:lineRule="auto"/>
        <w:rPr>
          <w:bCs/>
          <w:i/>
          <w:sz w:val="24"/>
          <w:szCs w:val="24"/>
          <w:u w:val="single"/>
        </w:rPr>
      </w:pPr>
      <w:r w:rsidRPr="00564E59">
        <w:rPr>
          <w:bCs/>
          <w:i/>
          <w:sz w:val="24"/>
          <w:szCs w:val="24"/>
          <w:u w:val="single"/>
        </w:rPr>
        <w:t xml:space="preserve">Orientation </w:t>
      </w:r>
      <w:r w:rsidR="0026749F" w:rsidRPr="00564E59">
        <w:rPr>
          <w:bCs/>
          <w:i/>
          <w:sz w:val="24"/>
          <w:szCs w:val="24"/>
          <w:u w:val="single"/>
        </w:rPr>
        <w:t xml:space="preserve">vers le </w:t>
      </w:r>
      <w:r w:rsidRPr="00564E59">
        <w:rPr>
          <w:bCs/>
          <w:i/>
          <w:sz w:val="24"/>
          <w:szCs w:val="24"/>
          <w:u w:val="single"/>
        </w:rPr>
        <w:t>Médecin du Travail</w:t>
      </w:r>
      <w:r w:rsidR="00564E59" w:rsidRPr="00564E59">
        <w:rPr>
          <w:bCs/>
          <w:i/>
          <w:sz w:val="24"/>
          <w:szCs w:val="24"/>
        </w:rPr>
        <w:t> :</w:t>
      </w:r>
    </w:p>
    <w:p w14:paraId="6DF04C17" w14:textId="77777777" w:rsidR="00CA0262" w:rsidRPr="003D6EA3" w:rsidRDefault="00CA0262" w:rsidP="00CA0262">
      <w:pPr>
        <w:pStyle w:val="Paragraphedeliste"/>
        <w:spacing w:after="0" w:line="240" w:lineRule="auto"/>
        <w:rPr>
          <w:b/>
          <w:bCs/>
          <w:i/>
          <w:u w:val="single"/>
        </w:rPr>
      </w:pPr>
    </w:p>
    <w:p w14:paraId="36A3F3E2" w14:textId="5F8B08EF" w:rsidR="00CA0262" w:rsidRPr="003D6EA3" w:rsidRDefault="00CA0262" w:rsidP="00CA0262">
      <w:pPr>
        <w:spacing w:after="0" w:line="240" w:lineRule="auto"/>
        <w:ind w:left="-142"/>
        <w:jc w:val="both"/>
        <w:rPr>
          <w:b/>
        </w:rPr>
      </w:pPr>
      <w:r w:rsidRPr="003D6EA3">
        <w:t xml:space="preserve">Possibilité d’orienter le salarié vers le médecin du travail selon l’appréciation de l’IDEST, au moindre doute, et dans les cas particuliers définis dans le </w:t>
      </w:r>
      <w:r w:rsidR="0026749F">
        <w:t>d</w:t>
      </w:r>
      <w:r w:rsidRPr="003D6EA3">
        <w:t>écret du 27/12/2016, le médecin du travail décidera ensuite de la périodicité du suivi de santé au travail.</w:t>
      </w:r>
    </w:p>
    <w:p w14:paraId="1623D4B7" w14:textId="77777777" w:rsidR="00CA0262" w:rsidRPr="002211CE" w:rsidRDefault="00CA0262" w:rsidP="002211CE">
      <w:pPr>
        <w:rPr>
          <w:iCs/>
          <w:sz w:val="24"/>
        </w:rPr>
      </w:pPr>
    </w:p>
    <w:p w14:paraId="33630043" w14:textId="121C6627" w:rsidR="008F0D86" w:rsidRDefault="008F0D86" w:rsidP="008F0D86">
      <w:pPr>
        <w:pStyle w:val="Paragraphedeliste"/>
        <w:ind w:left="426"/>
        <w:jc w:val="both"/>
      </w:pPr>
    </w:p>
    <w:p w14:paraId="668795D2" w14:textId="050122A5" w:rsidR="00E678F1" w:rsidRDefault="00E678F1" w:rsidP="008F0D86">
      <w:pPr>
        <w:pStyle w:val="Paragraphedeliste"/>
        <w:ind w:left="426"/>
        <w:jc w:val="both"/>
      </w:pPr>
    </w:p>
    <w:p w14:paraId="179ABCC8" w14:textId="2648F7E9" w:rsidR="00625D02" w:rsidRDefault="00625D02" w:rsidP="008F0D86">
      <w:pPr>
        <w:pStyle w:val="Paragraphedeliste"/>
        <w:ind w:left="426"/>
        <w:jc w:val="both"/>
      </w:pPr>
    </w:p>
    <w:p w14:paraId="585B6269" w14:textId="44DB3BE6" w:rsidR="00625D02" w:rsidRDefault="00625D02" w:rsidP="008F0D86">
      <w:pPr>
        <w:pStyle w:val="Paragraphedeliste"/>
        <w:ind w:left="426"/>
        <w:jc w:val="both"/>
      </w:pPr>
    </w:p>
    <w:p w14:paraId="2995B3A8" w14:textId="6F1A0A59" w:rsidR="00625D02" w:rsidRDefault="00625D02" w:rsidP="008F0D86">
      <w:pPr>
        <w:pStyle w:val="Paragraphedeliste"/>
        <w:ind w:left="426"/>
        <w:jc w:val="both"/>
      </w:pPr>
    </w:p>
    <w:p w14:paraId="550BDBC3" w14:textId="42FAA32D" w:rsidR="00625D02" w:rsidRDefault="00625D02" w:rsidP="008F0D86">
      <w:pPr>
        <w:pStyle w:val="Paragraphedeliste"/>
        <w:ind w:left="426"/>
        <w:jc w:val="both"/>
      </w:pPr>
    </w:p>
    <w:p w14:paraId="2452DF4C" w14:textId="1A4D3A4F" w:rsidR="00625D02" w:rsidRDefault="00625D02" w:rsidP="008F0D86">
      <w:pPr>
        <w:pStyle w:val="Paragraphedeliste"/>
        <w:ind w:left="426"/>
        <w:jc w:val="both"/>
      </w:pPr>
    </w:p>
    <w:p w14:paraId="1FC2980E" w14:textId="07502323" w:rsidR="00625D02" w:rsidRDefault="00625D02" w:rsidP="008F0D86">
      <w:pPr>
        <w:pStyle w:val="Paragraphedeliste"/>
        <w:ind w:left="426"/>
        <w:jc w:val="both"/>
      </w:pPr>
    </w:p>
    <w:p w14:paraId="2860A539" w14:textId="1EAF3554" w:rsidR="00625D02" w:rsidRDefault="00625D02" w:rsidP="008F0D86">
      <w:pPr>
        <w:pStyle w:val="Paragraphedeliste"/>
        <w:ind w:left="426"/>
        <w:jc w:val="both"/>
      </w:pPr>
    </w:p>
    <w:p w14:paraId="429DA524" w14:textId="77777777" w:rsidR="00625D02" w:rsidRDefault="00625D02" w:rsidP="008F0D86">
      <w:pPr>
        <w:pStyle w:val="Paragraphedeliste"/>
        <w:ind w:left="426"/>
        <w:jc w:val="both"/>
      </w:pPr>
    </w:p>
    <w:p w14:paraId="55CEE800" w14:textId="7DA729A1" w:rsidR="00E678F1" w:rsidRDefault="00E678F1" w:rsidP="008F0D86">
      <w:pPr>
        <w:pStyle w:val="Paragraphedeliste"/>
        <w:ind w:left="426"/>
        <w:jc w:val="both"/>
      </w:pPr>
    </w:p>
    <w:p w14:paraId="10F4F955" w14:textId="210DDE77" w:rsidR="00E678F1" w:rsidRDefault="00E678F1" w:rsidP="008F0D86">
      <w:pPr>
        <w:pStyle w:val="Paragraphedeliste"/>
        <w:ind w:left="426"/>
        <w:jc w:val="both"/>
      </w:pPr>
    </w:p>
    <w:p w14:paraId="4B41AF73" w14:textId="2BCCD7A4" w:rsidR="008F0D86" w:rsidRPr="00746C35" w:rsidRDefault="00465366" w:rsidP="00465366">
      <w:pPr>
        <w:pStyle w:val="Paragraphedeliste"/>
        <w:ind w:left="426"/>
        <w:jc w:val="both"/>
        <w:rPr>
          <w:b/>
          <w:bCs/>
        </w:rPr>
      </w:pPr>
      <w:r w:rsidRPr="00746C35">
        <w:rPr>
          <w:b/>
          <w:bCs/>
        </w:rPr>
        <w:t>ANNEXES</w:t>
      </w:r>
    </w:p>
    <w:p w14:paraId="59146DE6" w14:textId="77777777" w:rsidR="00465366" w:rsidRDefault="00465366" w:rsidP="00465366">
      <w:pPr>
        <w:pStyle w:val="Paragraphedeliste"/>
        <w:ind w:left="426"/>
        <w:jc w:val="both"/>
      </w:pPr>
    </w:p>
    <w:p w14:paraId="74C97DF3" w14:textId="77777777" w:rsidR="000D497C" w:rsidRPr="00C72F86" w:rsidRDefault="0050419D" w:rsidP="000D497C">
      <w:pPr>
        <w:pStyle w:val="Paragraphedeliste"/>
        <w:ind w:left="0"/>
        <w:jc w:val="center"/>
        <w:rPr>
          <w:b/>
          <w:color w:val="000000" w:themeColor="text1"/>
        </w:rPr>
      </w:pPr>
      <w:r w:rsidRPr="00C72F86">
        <w:rPr>
          <w:b/>
          <w:color w:val="000000" w:themeColor="text1"/>
        </w:rPr>
        <w:t>Arrêté du 2 août 2013 : Conditions d’immunisation contre l’hépatite B</w:t>
      </w:r>
    </w:p>
    <w:p w14:paraId="70F1D5F3" w14:textId="449B2410" w:rsidR="0050419D" w:rsidRDefault="0050419D" w:rsidP="000D497C">
      <w:pPr>
        <w:pStyle w:val="Paragraphedeliste"/>
        <w:ind w:left="0"/>
        <w:jc w:val="center"/>
        <w:rPr>
          <w:b/>
        </w:rPr>
      </w:pPr>
    </w:p>
    <w:p w14:paraId="0EC35A40" w14:textId="77777777" w:rsidR="00F56227" w:rsidRPr="0050419D" w:rsidRDefault="00F56227" w:rsidP="000D497C">
      <w:pPr>
        <w:pStyle w:val="Paragraphedeliste"/>
        <w:ind w:left="0"/>
        <w:jc w:val="center"/>
        <w:rPr>
          <w:b/>
        </w:rPr>
      </w:pPr>
    </w:p>
    <w:p w14:paraId="08A9C317" w14:textId="5ADB33B0" w:rsidR="000D497C" w:rsidRDefault="0050419D" w:rsidP="000D497C">
      <w:pPr>
        <w:pStyle w:val="Paragraphedeliste"/>
        <w:ind w:left="0"/>
        <w:jc w:val="center"/>
      </w:pPr>
      <w:r>
        <w:rPr>
          <w:noProof/>
          <w:lang w:eastAsia="fr-FR"/>
        </w:rPr>
        <w:drawing>
          <wp:inline distT="0" distB="0" distL="0" distR="0" wp14:anchorId="5308EF60" wp14:editId="18D4132A">
            <wp:extent cx="5753100" cy="34004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400425"/>
                    </a:xfrm>
                    <a:prstGeom prst="rect">
                      <a:avLst/>
                    </a:prstGeom>
                    <a:noFill/>
                    <a:ln>
                      <a:noFill/>
                    </a:ln>
                  </pic:spPr>
                </pic:pic>
              </a:graphicData>
            </a:graphic>
          </wp:inline>
        </w:drawing>
      </w:r>
    </w:p>
    <w:p w14:paraId="265AD9BB" w14:textId="065F98E7" w:rsidR="00E678F1" w:rsidRDefault="00E678F1" w:rsidP="000D497C">
      <w:pPr>
        <w:pStyle w:val="Paragraphedeliste"/>
        <w:ind w:left="0"/>
        <w:jc w:val="center"/>
      </w:pPr>
    </w:p>
    <w:p w14:paraId="7D607F52" w14:textId="589F01F9" w:rsidR="00E678F1" w:rsidRDefault="00465366" w:rsidP="000D497C">
      <w:pPr>
        <w:pStyle w:val="Paragraphedeliste"/>
        <w:ind w:left="0"/>
        <w:jc w:val="center"/>
      </w:pPr>
      <w:r>
        <w:rPr>
          <w:noProof/>
          <w:lang w:eastAsia="fr-FR"/>
        </w:rPr>
        <mc:AlternateContent>
          <mc:Choice Requires="wps">
            <w:drawing>
              <wp:anchor distT="0" distB="0" distL="114300" distR="114300" simplePos="0" relativeHeight="251659264" behindDoc="0" locked="0" layoutInCell="1" allowOverlap="1" wp14:anchorId="671B8C17" wp14:editId="56C1063B">
                <wp:simplePos x="0" y="0"/>
                <wp:positionH relativeFrom="column">
                  <wp:posOffset>1829550</wp:posOffset>
                </wp:positionH>
                <wp:positionV relativeFrom="paragraph">
                  <wp:posOffset>130869</wp:posOffset>
                </wp:positionV>
                <wp:extent cx="2029691" cy="720436"/>
                <wp:effectExtent l="0" t="0" r="27940" b="22860"/>
                <wp:wrapNone/>
                <wp:docPr id="3" name="Rectangle 3"/>
                <wp:cNvGraphicFramePr/>
                <a:graphic xmlns:a="http://schemas.openxmlformats.org/drawingml/2006/main">
                  <a:graphicData uri="http://schemas.microsoft.com/office/word/2010/wordprocessingShape">
                    <wps:wsp>
                      <wps:cNvSpPr/>
                      <wps:spPr>
                        <a:xfrm>
                          <a:off x="0" y="0"/>
                          <a:ext cx="2029691" cy="720436"/>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35626A" id="Rectangle 3" o:spid="_x0000_s1026" style="position:absolute;margin-left:144.05pt;margin-top:10.3pt;width:159.8pt;height:5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" filled="f" strokecolor="#c00000" strokeweight="2pt"/>
            </w:pict>
          </mc:Fallback>
        </mc:AlternateContent>
      </w:r>
    </w:p>
    <w:p w14:paraId="0D843B00" w14:textId="4773217A" w:rsidR="00680D61" w:rsidRPr="00C5772A" w:rsidRDefault="00E678F1" w:rsidP="000D497C">
      <w:pPr>
        <w:pStyle w:val="Paragraphedeliste"/>
        <w:ind w:left="0"/>
        <w:jc w:val="center"/>
        <w:rPr>
          <w:b/>
          <w:bCs/>
        </w:rPr>
      </w:pPr>
      <w:r w:rsidRPr="00C5772A">
        <w:rPr>
          <w:b/>
          <w:bCs/>
        </w:rPr>
        <w:t>Rappel DTP</w:t>
      </w:r>
    </w:p>
    <w:p w14:paraId="1C7991B7" w14:textId="1165CB9C" w:rsidR="00E678F1" w:rsidRDefault="00680D61" w:rsidP="000D497C">
      <w:pPr>
        <w:pStyle w:val="Paragraphedeliste"/>
        <w:ind w:left="0"/>
        <w:jc w:val="center"/>
      </w:pPr>
      <w:r>
        <w:t xml:space="preserve">La </w:t>
      </w:r>
      <w:r w:rsidR="00E678F1">
        <w:t>vaccination adulte type :</w:t>
      </w:r>
    </w:p>
    <w:p w14:paraId="4F1671CF" w14:textId="599249CF" w:rsidR="00E678F1" w:rsidRDefault="00E678F1" w:rsidP="000D497C">
      <w:pPr>
        <w:pStyle w:val="Paragraphedeliste"/>
        <w:ind w:left="0"/>
        <w:jc w:val="center"/>
      </w:pPr>
      <w:r>
        <w:t>25 ans</w:t>
      </w:r>
      <w:r w:rsidR="00C5772A">
        <w:t xml:space="preserve"> /</w:t>
      </w:r>
      <w:r>
        <w:t xml:space="preserve"> 45 ans </w:t>
      </w:r>
      <w:r w:rsidR="00C5772A">
        <w:t>/</w:t>
      </w:r>
      <w:r>
        <w:t xml:space="preserve"> 65 ans</w:t>
      </w:r>
    </w:p>
    <w:p w14:paraId="5978FA80" w14:textId="24AEEA18" w:rsidR="00465366" w:rsidRDefault="00465366" w:rsidP="000D497C">
      <w:pPr>
        <w:pStyle w:val="Paragraphedeliste"/>
        <w:ind w:left="0"/>
        <w:jc w:val="center"/>
      </w:pPr>
    </w:p>
    <w:p w14:paraId="65575C81" w14:textId="77777777" w:rsidR="00475D86" w:rsidRDefault="00475D86" w:rsidP="000D497C">
      <w:pPr>
        <w:pStyle w:val="Paragraphedeliste"/>
        <w:ind w:left="0"/>
        <w:jc w:val="center"/>
      </w:pPr>
    </w:p>
    <w:p w14:paraId="368351BF" w14:textId="0983F4F1" w:rsidR="00465366" w:rsidRDefault="00465366" w:rsidP="00475D86">
      <w:pPr>
        <w:pStyle w:val="Titre4"/>
        <w:shd w:val="clear" w:color="auto" w:fill="FFFFFF"/>
        <w:spacing w:before="0" w:after="120"/>
        <w:jc w:val="both"/>
        <w:rPr>
          <w:rFonts w:ascii="Arial" w:hAnsi="Arial" w:cs="Arial"/>
          <w:color w:val="4A5E81"/>
          <w:sz w:val="21"/>
          <w:szCs w:val="21"/>
        </w:rPr>
      </w:pPr>
      <w:r w:rsidRPr="00465366">
        <w:rPr>
          <w:rFonts w:ascii="Arial" w:hAnsi="Arial" w:cs="Arial"/>
          <w:color w:val="4A5E81"/>
          <w:sz w:val="21"/>
          <w:szCs w:val="21"/>
        </w:rPr>
        <w:t>Loi N° 2021-1040 du 5/08/21 relatif à la gestion de la crise sanitaire et décret n°2021-1059 du 7/08/2021</w:t>
      </w:r>
    </w:p>
    <w:p w14:paraId="4FF370D3" w14:textId="265868F7" w:rsidR="00465366" w:rsidRDefault="00564E59" w:rsidP="00465366">
      <w:pPr>
        <w:pStyle w:val="Paragraphedeliste"/>
        <w:ind w:left="0"/>
      </w:pPr>
      <w:hyperlink r:id="rId13" w:history="1">
        <w:r w:rsidR="00465366">
          <w:rPr>
            <w:rStyle w:val="Lienhypertexte"/>
            <w:rFonts w:ascii="Arial" w:hAnsi="Arial" w:cs="Arial"/>
            <w:color w:val="4A5E81"/>
            <w:sz w:val="21"/>
            <w:szCs w:val="21"/>
          </w:rPr>
          <w:t>Article 12</w:t>
        </w:r>
      </w:hyperlink>
    </w:p>
    <w:p w14:paraId="64EBA492"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I. - Doivent être vaccinés, sauf contre-indication médicale reconnue, contre la covid-19 :</w:t>
      </w:r>
    </w:p>
    <w:p w14:paraId="3F1559F8"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1° Les personnes exerçant leur activité dans :</w:t>
      </w:r>
    </w:p>
    <w:p w14:paraId="31294C45"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a) Les établissements de santé mentionnés à l'article L. 6111-1 du code de la santé publique ainsi que les hôpitaux des armées mentionnés à l'article L. 6147-7 du même code ;</w:t>
      </w:r>
    </w:p>
    <w:p w14:paraId="185FD05B"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b) Les centres de santé mentionnés à l'article L. 6323-1 dudit code ;</w:t>
      </w:r>
    </w:p>
    <w:p w14:paraId="2EC8EC01"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c) Les maisons de santé mentionnées à l'article L. 6323-3 du même code ;</w:t>
      </w:r>
    </w:p>
    <w:p w14:paraId="6D12BE00"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d) Les centres et équipes mobiles de soins mentionnés à l'article L. 6325-1 du même code ;</w:t>
      </w:r>
    </w:p>
    <w:p w14:paraId="030FE576"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e) Les centres médicaux et équipes de soins mobiles du service de santé des armées mentionnés à l'article L. 6326-1 du même code ;</w:t>
      </w:r>
    </w:p>
    <w:p w14:paraId="13E2A33B"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f) Les dispositifs d'appui à la coordination des parcours de santé complexes mentionnés aux II et III de l'article 23 de la loi n° 2019-774 du 24 juillet 2019 relative à l'organisation et à la transformation du système de santé ;</w:t>
      </w:r>
    </w:p>
    <w:p w14:paraId="789CCD39"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g) Les centres de lutte contre la tuberculose mentionnés à l'article L. 3112-2 du code de la santé publique ;</w:t>
      </w:r>
    </w:p>
    <w:p w14:paraId="3279FCCB"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h) Les centres gratuits d'information, de dépistage et de diagnostic mentionnés à l'article L. 3121-2 du même code ;</w:t>
      </w:r>
    </w:p>
    <w:p w14:paraId="0CE3BF9B"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lastRenderedPageBreak/>
        <w:t>i) Les services de médecine préventive et de promotion de la santé mentionnés à l'article L. 831-1 du code de l'éducation ;</w:t>
      </w:r>
    </w:p>
    <w:p w14:paraId="183A5834"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j) Les services de prévention et de santé au travail mentionnés à l'article L. 4622-1 du code du travail et les services de prévention et de santé au travail interentreprises définis à l'article L. 4622-7 du même code ;</w:t>
      </w:r>
    </w:p>
    <w:p w14:paraId="115693E4"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k) Les établissements et services sociaux et médico-sociaux mentionnés aux 2°, 3°, 5°, 6°, 7°, 9° et 12° du I de l'article L. 312-1 du code de l'action sociale et des familles, à l'exception des travailleurs handicapés accompagnés dans le cadre d'un contrat de soutien et d'aide par le travail mentionné au dernier alinéa de l'article L. 311-4 du même code ;</w:t>
      </w:r>
    </w:p>
    <w:p w14:paraId="417452DE"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l) Les établissements mentionnés à l'article L. 633-1 du code de la construction et de l'habitation, qui ne relèvent pas des établissements sociaux et médico-sociaux mentionnés aux 6° et 7° du I de l'article L. 312-1 du code de l'action sociale et des familles, destinés à l'accueil des personnes âgées ou handicapées ;</w:t>
      </w:r>
    </w:p>
    <w:p w14:paraId="269BDB9A"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m) Les résidences-services destinées à l'accueil des personnes âgées ou handicapées mentionnées à l'article L. 631-13 du code de la construction et de l'habitation ;</w:t>
      </w:r>
    </w:p>
    <w:p w14:paraId="44446B53"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n) Les habitats inclusifs mentionnés à l'article L. 281-1 du code de l'action sociale et des familles ;</w:t>
      </w:r>
    </w:p>
    <w:p w14:paraId="0FD63AD4"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2° Les professionnels de santé mentionnés à la quatrième partie du code de la santé publique, lorsqu'ils ne relèvent pas du 1° du présent I ;</w:t>
      </w:r>
    </w:p>
    <w:p w14:paraId="289B8B2B"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3° Les personnes, lorsqu'elles ne relèvent pas des 1° ou 2° du présent I, faisant usage :</w:t>
      </w:r>
    </w:p>
    <w:p w14:paraId="7236B447"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a) Du titre de psychologue mentionné à l'article 44 de la loi n° 85-772 du 25 juillet 1985 portant diverses dispositions d'ordre social ;</w:t>
      </w:r>
    </w:p>
    <w:p w14:paraId="37AF08D2"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b) Du titre d'ostéopathe ou de chiropracteur mentionné à l'article 75 de la loi n° 2002-303 du 4 mars 2002 relative aux droits des malades et à la qualité du système de santé ;</w:t>
      </w:r>
    </w:p>
    <w:p w14:paraId="50F23209"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c) Du titre de psychothérapeute mentionné à l'article 52 de la loi n° 2004-806 du 9 août 2004 relative à la politique de santé publique ;</w:t>
      </w:r>
    </w:p>
    <w:p w14:paraId="767663A0"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4° Les étudiants ou élèves des établissements préparant à l'exercice des professions mentionnées aux 2° et 3° du présent I ainsi que les personnes travaillant dans les mêmes locaux que les professionnels mentionnés au 2° ou que les personnes mentionnées au 3° ;</w:t>
      </w:r>
    </w:p>
    <w:p w14:paraId="36D8E198"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5° Les professionnels employés par un particulier employeur mentionné à l'article L. 7221-1 du code du travail, effectuant des interventions au domicile des personnes attributaires des allocations définies aux articles L. 232-1 et L. 245-1 du code de l'action sociale et des familles ;</w:t>
      </w:r>
    </w:p>
    <w:p w14:paraId="3953506C"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6° Les sapeurs-pompiers et les marins-pompiers des services d'incendie et de secours, les pilotes et personnels navigants de la sécurité civile assurant la prise en charge de victimes, les militaires des unités investies à titre permanent de missions de sécurité civile mentionnés au premier alinéa de l'article L. 721-2 du code de la sécurité intérieure ainsi que les membres des associations agréées de sécurité civile mentionnées à l'article L. 725-3 du même code participant, à la demande de l'autorité de police compétente ou lors du déclenchement du plan Orsec, aux opérations de secours et à l'encadrement des bénévoles dans le cadre des actions de soutien aux populations ou qui contribuent à la mise en place des dispositifs de sécurité civile dans le cadre de rassemblements de personnes ;</w:t>
      </w:r>
    </w:p>
    <w:p w14:paraId="4C410EA8"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7° Les personnes exerçant l'activité de transport sanitaire mentionnée à l'article L. 6312-1 du code de la santé publique ainsi que celles assurant les transports pris en charge sur prescription médicale mentionnés à l'article L. 322-5 du code de la sécurité sociale ;</w:t>
      </w:r>
    </w:p>
    <w:p w14:paraId="76DC318C"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8° Les prestataires de services et les distributeurs de matériels mentionnés à l'article L. 5232-3 du code de la santé publique.</w:t>
      </w:r>
    </w:p>
    <w:p w14:paraId="7865C4FD"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II. - Un décret, pris après avis de la Haute Autorité de santé, détermine les conditions de vaccination contre la covid-19 des personnes mentionnées au I du présent article. Il précise les différents schémas vaccinaux et, pour chacun d'entre eux, le nombre de doses requises.</w:t>
      </w:r>
    </w:p>
    <w:p w14:paraId="734304EF"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Ce décret fixe les éléments permettant d'établir un certificat de statut vaccinal pour les personnes mentionnées au même I et les modalités de présentation de ce certificat sous une forme ne permettant d'identifier que la nature de celui-ci et la satisfaction aux critères requis. Il détermine également les éléments permettant d'établir le résultat d'un examen de dépistage virologique ne concluant pas à une contamination par la covid-19 et le certificat de rétablissement à la suite d'une contamination par la covid-19.</w:t>
      </w:r>
    </w:p>
    <w:p w14:paraId="6D213BBC" w14:textId="77777777" w:rsidR="00465366" w:rsidRPr="00465366" w:rsidRDefault="00465366" w:rsidP="00465366">
      <w:pPr>
        <w:pStyle w:val="Paragraphedeliste"/>
        <w:spacing w:after="0" w:line="240" w:lineRule="auto"/>
        <w:ind w:left="0"/>
        <w:jc w:val="both"/>
        <w:rPr>
          <w:sz w:val="20"/>
          <w:szCs w:val="20"/>
        </w:rPr>
      </w:pPr>
      <w:r w:rsidRPr="00465366">
        <w:rPr>
          <w:sz w:val="20"/>
          <w:szCs w:val="20"/>
        </w:rPr>
        <w:t>III. - Le I ne s'applique pas aux personnes chargées de l'exécution d'une tâche ponctuelle au sein des locaux dans lesquels les personnes mentionnées aux 1°, 2°, 3° et 4° du même I exercent ou travaillent.</w:t>
      </w:r>
    </w:p>
    <w:p w14:paraId="525E2939" w14:textId="2EFD7F54" w:rsidR="00465366" w:rsidRPr="00465366" w:rsidRDefault="00465366" w:rsidP="00465366">
      <w:pPr>
        <w:pStyle w:val="Paragraphedeliste"/>
        <w:spacing w:after="0" w:line="240" w:lineRule="auto"/>
        <w:ind w:left="0"/>
        <w:jc w:val="both"/>
        <w:rPr>
          <w:sz w:val="20"/>
          <w:szCs w:val="20"/>
        </w:rPr>
      </w:pPr>
      <w:r w:rsidRPr="00465366">
        <w:rPr>
          <w:sz w:val="20"/>
          <w:szCs w:val="20"/>
        </w:rPr>
        <w:t>IV. - Un décret, pris après avis de la Haute Autorité de santé, peut, compte tenu de l'évolution de la situation épidémiologique et des connaissances médicales et scientifiques, suspendre, pour tout ou partie des catégories de personnes mentionnées au I, l'obligation prévue au même I.</w:t>
      </w:r>
    </w:p>
    <w:p w14:paraId="246D0C19" w14:textId="77777777" w:rsidR="00465366" w:rsidRPr="00AC213D" w:rsidRDefault="00465366">
      <w:pPr>
        <w:pStyle w:val="Paragraphedeliste"/>
        <w:ind w:left="0"/>
        <w:jc w:val="center"/>
      </w:pPr>
    </w:p>
    <w:sectPr w:rsidR="00465366" w:rsidRPr="00AC213D" w:rsidSect="00024262">
      <w:footerReference w:type="default" r:id="rId14"/>
      <w:footerReference w:type="first" r:id="rId15"/>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978C6" w14:textId="77777777" w:rsidR="00EC11E1" w:rsidRDefault="00EC11E1" w:rsidP="00A34CEC">
      <w:pPr>
        <w:spacing w:after="0" w:line="240" w:lineRule="auto"/>
      </w:pPr>
      <w:r>
        <w:separator/>
      </w:r>
    </w:p>
  </w:endnote>
  <w:endnote w:type="continuationSeparator" w:id="0">
    <w:p w14:paraId="73934091" w14:textId="77777777" w:rsidR="00EC11E1" w:rsidRDefault="00EC11E1" w:rsidP="00A3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i/>
        <w:sz w:val="18"/>
      </w:rPr>
      <w:id w:val="1152099312"/>
      <w:docPartObj>
        <w:docPartGallery w:val="Page Numbers (Bottom of Page)"/>
        <w:docPartUnique/>
      </w:docPartObj>
    </w:sdtPr>
    <w:sdtContent>
      <w:p w14:paraId="1061C68B" w14:textId="0C9D97B8" w:rsidR="00EC11E1" w:rsidRDefault="00EC11E1" w:rsidP="009A4004">
        <w:pPr>
          <w:pStyle w:val="Pieddepage"/>
          <w:rPr>
            <w:rFonts w:asciiTheme="majorHAnsi" w:hAnsiTheme="majorHAnsi"/>
            <w:i/>
            <w:sz w:val="18"/>
          </w:rPr>
        </w:pPr>
        <w:r w:rsidRPr="009823CD">
          <w:rPr>
            <w:rFonts w:asciiTheme="majorHAnsi" w:hAnsiTheme="majorHAnsi"/>
            <w:i/>
            <w:noProof/>
            <w:sz w:val="18"/>
            <w:lang w:eastAsia="fr-FR"/>
          </w:rPr>
          <mc:AlternateContent>
            <mc:Choice Requires="wpg">
              <w:drawing>
                <wp:anchor distT="0" distB="0" distL="114300" distR="114300" simplePos="0" relativeHeight="251661312" behindDoc="0" locked="0" layoutInCell="1" allowOverlap="1" wp14:anchorId="3F7F7CF6" wp14:editId="18E9C5D5">
                  <wp:simplePos x="0" y="0"/>
                  <wp:positionH relativeFrom="margin">
                    <wp:posOffset>3065365</wp:posOffset>
                  </wp:positionH>
                  <wp:positionV relativeFrom="page">
                    <wp:posOffset>10296525</wp:posOffset>
                  </wp:positionV>
                  <wp:extent cx="256953" cy="393065"/>
                  <wp:effectExtent l="0" t="0" r="10160" b="26035"/>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53" cy="393065"/>
                            <a:chOff x="1881" y="14699"/>
                            <a:chExt cx="464" cy="1129"/>
                          </a:xfrm>
                        </wpg:grpSpPr>
                        <wps:wsp>
                          <wps:cNvPr id="11"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2" name="Rectangle 78"/>
                          <wps:cNvSpPr>
                            <a:spLocks noChangeArrowheads="1"/>
                          </wps:cNvSpPr>
                          <wps:spPr bwMode="auto">
                            <a:xfrm>
                              <a:off x="1881" y="14699"/>
                              <a:ext cx="464"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75D6ABB" w14:textId="77777777" w:rsidR="00EC11E1" w:rsidRDefault="00EC11E1" w:rsidP="009A4004">
                                <w:pPr>
                                  <w:pStyle w:val="Pieddepage"/>
                                  <w:jc w:val="center"/>
                                  <w:rPr>
                                    <w:sz w:val="16"/>
                                    <w:szCs w:val="16"/>
                                  </w:rPr>
                                </w:pPr>
                                <w:r>
                                  <w:fldChar w:fldCharType="begin"/>
                                </w:r>
                                <w:r>
                                  <w:instrText>PAGE    \* MERGEFORMAT</w:instrText>
                                </w:r>
                                <w:r>
                                  <w:fldChar w:fldCharType="separate"/>
                                </w:r>
                                <w:r w:rsidR="006926B5" w:rsidRPr="006926B5">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7" o:spid="_x0000_s1026" style="position:absolute;margin-left:241.35pt;margin-top:810.75pt;width:20.25pt;height:30.95pt;z-index:251661312;mso-position-horizontal-relative:margin;mso-position-vertical-relative:page" coordorigin="1881,14699" coordsize="464,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w+sEAAADbAAAADwAAAGRycy9kb3ducmV2LnhtbERPS2vCQBC+C/0Pywi96SaCtaSuQQpC&#10;LiKatuchO02i2dmQ3Tzqr+8WCt7m43vONp1MIwbqXG1ZQbyMQBAXVtdcKvjID4tXEM4ja2wsk4If&#10;cpDunmZbTLQd+UzDxZcihLBLUEHlfZtI6YqKDLqlbYkD9207gz7ArpS6wzGEm0auouhFGqw5NFTY&#10;0ntFxe3SGwXrbGOuLsvPdy/z49fQnNr+Uyr1PJ/2byA8Tf4h/ndnOsyP4e+XcI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PD6wQAAANsAAAAPAAAAAAAAAAAAAAAA&#10;AKECAABkcnMvZG93bnJldi54bWxQSwUGAAAAAAQABAD5AAAAjwMAAAAA&#10;" strokecolor="#7f7f7f"/>
                  <v:rect id="Rectangle 78" o:spid="_x0000_s1028" style="position:absolute;left:1881;top:14699;width:464;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sRLcMA&#10;AADbAAAADwAAAGRycy9kb3ducmV2LnhtbERPS2vCQBC+F/wPyxS81U09FBtdpcQWCl6sio/bkB2z&#10;abKzIbsm8d93C4Xe5uN7zmI12Fp01PrSsYLnSQKCOHe65ELBYf/xNAPhA7LG2jEpuJOH1XL0sMBU&#10;u56/qNuFQsQQ9ikqMCE0qZQ+N2TRT1xDHLmray2GCNtC6hb7GG5rOU2SF2mx5NhgsKHMUF7tblZB&#10;Zdbf75vqnp352GWnbehfL6etUuPH4W0OItAQ/sV/7k8d50/h95d4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sRLcMAAADbAAAADwAAAAAAAAAAAAAAAACYAgAAZHJzL2Rv&#10;d25yZXYueG1sUEsFBgAAAAAEAAQA9QAAAIgDAAAAAA==&#10;" filled="f" strokecolor="#7f7f7f">
                    <v:textbox>
                      <w:txbxContent>
                        <w:p w14:paraId="475D6ABB" w14:textId="77777777" w:rsidR="00EC11E1" w:rsidRDefault="00EC11E1" w:rsidP="009A4004">
                          <w:pPr>
                            <w:pStyle w:val="Pieddepage"/>
                            <w:jc w:val="center"/>
                            <w:rPr>
                              <w:sz w:val="16"/>
                              <w:szCs w:val="16"/>
                            </w:rPr>
                          </w:pPr>
                          <w:r>
                            <w:fldChar w:fldCharType="begin"/>
                          </w:r>
                          <w:r>
                            <w:instrText>PAGE    \* MERGEFORMAT</w:instrText>
                          </w:r>
                          <w:r>
                            <w:fldChar w:fldCharType="separate"/>
                          </w:r>
                          <w:r w:rsidR="006926B5" w:rsidRPr="006926B5">
                            <w:rPr>
                              <w:noProof/>
                              <w:sz w:val="16"/>
                              <w:szCs w:val="16"/>
                            </w:rPr>
                            <w:t>2</w:t>
                          </w:r>
                          <w:r>
                            <w:rPr>
                              <w:sz w:val="16"/>
                              <w:szCs w:val="16"/>
                            </w:rPr>
                            <w:fldChar w:fldCharType="end"/>
                          </w:r>
                        </w:p>
                      </w:txbxContent>
                    </v:textbox>
                  </v:rect>
                  <w10:wrap anchorx="margin" anchory="page"/>
                </v:group>
              </w:pict>
            </mc:Fallback>
          </mc:AlternateContent>
        </w:r>
        <w:r>
          <w:rPr>
            <w:rFonts w:asciiTheme="majorHAnsi" w:hAnsiTheme="majorHAnsi"/>
            <w:i/>
            <w:sz w:val="18"/>
          </w:rPr>
          <w:t>P</w:t>
        </w:r>
        <w:r w:rsidRPr="006E3D29">
          <w:rPr>
            <w:rFonts w:asciiTheme="majorHAnsi" w:hAnsiTheme="majorHAnsi"/>
            <w:i/>
            <w:sz w:val="16"/>
          </w:rPr>
          <w:t>rotocole expérimental accompagné par la DREETS</w:t>
        </w:r>
        <w:r>
          <w:rPr>
            <w:rFonts w:asciiTheme="majorHAnsi" w:hAnsiTheme="majorHAnsi"/>
            <w:i/>
            <w:sz w:val="16"/>
          </w:rPr>
          <w:t xml:space="preserve"> -</w:t>
        </w:r>
        <w:r w:rsidRPr="006E3D29">
          <w:rPr>
            <w:rFonts w:asciiTheme="majorHAnsi" w:hAnsiTheme="majorHAnsi"/>
            <w:i/>
            <w:sz w:val="16"/>
          </w:rPr>
          <w:t xml:space="preserve"> </w:t>
        </w:r>
        <w:r>
          <w:rPr>
            <w:rFonts w:asciiTheme="majorHAnsi" w:hAnsiTheme="majorHAnsi"/>
            <w:i/>
            <w:sz w:val="16"/>
          </w:rPr>
          <w:t>Agents Biologiques 3et4</w:t>
        </w:r>
        <w:r w:rsidRPr="006E3D29">
          <w:rPr>
            <w:rFonts w:asciiTheme="majorHAnsi" w:hAnsiTheme="majorHAnsi"/>
            <w:i/>
            <w:sz w:val="16"/>
          </w:rPr>
          <w:tab/>
          <w:t xml:space="preserve">  </w:t>
        </w:r>
      </w:p>
    </w:sdtContent>
  </w:sdt>
  <w:p w14:paraId="120A8E07" w14:textId="77777777" w:rsidR="00EC11E1" w:rsidRPr="009A4004" w:rsidRDefault="00EC11E1" w:rsidP="009A400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914086"/>
      <w:docPartObj>
        <w:docPartGallery w:val="Page Numbers (Bottom of Page)"/>
        <w:docPartUnique/>
      </w:docPartObj>
    </w:sdtPr>
    <w:sdtContent>
      <w:p w14:paraId="73A3DB6E" w14:textId="77777777" w:rsidR="00EC11E1" w:rsidRDefault="00EC11E1" w:rsidP="00880CEF">
        <w:pPr>
          <w:pStyle w:val="Pieddepage"/>
        </w:pPr>
        <w:r>
          <w:rPr>
            <w:noProof/>
            <w:lang w:eastAsia="fr-FR"/>
          </w:rPr>
          <mc:AlternateContent>
            <mc:Choice Requires="wpg">
              <w:drawing>
                <wp:anchor distT="0" distB="0" distL="114300" distR="114300" simplePos="0" relativeHeight="251659264" behindDoc="0" locked="0" layoutInCell="1" allowOverlap="1" wp14:anchorId="5B573566" wp14:editId="3BA86CA9">
                  <wp:simplePos x="0" y="0"/>
                  <wp:positionH relativeFrom="margin">
                    <wp:align>center</wp:align>
                  </wp:positionH>
                  <wp:positionV relativeFrom="page">
                    <wp:align>bottom</wp:align>
                  </wp:positionV>
                  <wp:extent cx="436880" cy="716915"/>
                  <wp:effectExtent l="9525" t="9525" r="10795" b="6985"/>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221BECC" w14:textId="77777777" w:rsidR="00EC11E1" w:rsidRDefault="00EC11E1" w:rsidP="00880CEF">
                                <w:pPr>
                                  <w:pStyle w:val="Pieddepage"/>
                                  <w:jc w:val="center"/>
                                  <w:rPr>
                                    <w:sz w:val="16"/>
                                    <w:szCs w:val="16"/>
                                  </w:rPr>
                                </w:pPr>
                                <w:r>
                                  <w:fldChar w:fldCharType="begin"/>
                                </w:r>
                                <w:r>
                                  <w:instrText>PAGE    \* MERGEFORMAT</w:instrText>
                                </w:r>
                                <w:r>
                                  <w:fldChar w:fldCharType="separate"/>
                                </w:r>
                                <w:r w:rsidRPr="00880CEF">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573566" id="Groupe 8" o:spid="_x0000_s1029"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ZRT62/4CAAB/BwAADgAAAAAAAAAAAAAAAAAuAgAAZHJzL2Uyb0RvYy54bWxQSwECLQAUAAYA&#10;CAAAACEA0pdrB9sAAAAEAQAADwAAAAAAAAAAAAAAAABYBQAAZHJzL2Rvd25yZXYueG1sUEsFBgAA&#10;AAAEAAQA8wAAAGAGA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" filled="f" strokecolor="#7f7f7f">
                    <v:textbox>
                      <w:txbxContent>
                        <w:p w14:paraId="2221BECC" w14:textId="77777777" w:rsidR="00BF7FA6" w:rsidRDefault="00BF7FA6" w:rsidP="00880CEF">
                          <w:pPr>
                            <w:pStyle w:val="Pieddepage"/>
                            <w:jc w:val="center"/>
                            <w:rPr>
                              <w:sz w:val="16"/>
                              <w:szCs w:val="16"/>
                            </w:rPr>
                          </w:pPr>
                          <w:r>
                            <w:fldChar w:fldCharType="begin"/>
                          </w:r>
                          <w:r>
                            <w:instrText>PAGE    \* MERGEFORMAT</w:instrText>
                          </w:r>
                          <w:r>
                            <w:fldChar w:fldCharType="separate"/>
                          </w:r>
                          <w:r w:rsidRPr="00880CEF">
                            <w:rPr>
                              <w:noProof/>
                              <w:sz w:val="16"/>
                              <w:szCs w:val="16"/>
                            </w:rPr>
                            <w:t>1</w:t>
                          </w:r>
                          <w:r>
                            <w:rPr>
                              <w:sz w:val="16"/>
                              <w:szCs w:val="16"/>
                            </w:rPr>
                            <w:fldChar w:fldCharType="end"/>
                          </w:r>
                        </w:p>
                      </w:txbxContent>
                    </v:textbox>
                  </v:rect>
                  <w10:wrap anchorx="margin" anchory="page"/>
                </v:group>
              </w:pict>
            </mc:Fallback>
          </mc:AlternateContent>
        </w:r>
        <w:r>
          <w:t>Protocole Entretien IDE – SMR Nuit</w:t>
        </w:r>
        <w:r>
          <w:tab/>
        </w:r>
        <w:r>
          <w:tab/>
          <w:t>SANTRAVIR – Novembre 2015</w:t>
        </w:r>
      </w:p>
    </w:sdtContent>
  </w:sdt>
  <w:p w14:paraId="7025ED7D" w14:textId="77777777" w:rsidR="00EC11E1" w:rsidRDefault="00EC11E1" w:rsidP="00880CEF">
    <w:pPr>
      <w:pStyle w:val="Pieddepage"/>
    </w:pPr>
    <w:r w:rsidRPr="00880CEF">
      <w:rPr>
        <w:rFonts w:asciiTheme="majorHAnsi" w:eastAsiaTheme="majorEastAsia" w:hAnsiTheme="majorHAnsi" w:cstheme="majorBidi"/>
      </w:rPr>
      <w:t xml:space="preserve"> </w:t>
    </w:r>
    <w:r w:rsidRPr="00880CEF">
      <w:rPr>
        <w:rFonts w:asciiTheme="majorHAnsi" w:eastAsiaTheme="majorEastAsia" w:hAnsiTheme="majorHAnsi" w:cstheme="majorBidi"/>
      </w:rPr>
      <w:ptab w:relativeTo="margin" w:alignment="center" w:leader="none"/>
    </w:r>
    <w:r w:rsidRPr="00880CEF">
      <w:rPr>
        <w:rFonts w:asciiTheme="majorHAnsi" w:eastAsiaTheme="majorEastAsia" w:hAnsiTheme="majorHAnsi" w:cstheme="majorBidi"/>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524D4" w14:textId="77777777" w:rsidR="00EC11E1" w:rsidRDefault="00EC11E1" w:rsidP="00A34CEC">
      <w:pPr>
        <w:spacing w:after="0" w:line="240" w:lineRule="auto"/>
      </w:pPr>
      <w:r>
        <w:separator/>
      </w:r>
    </w:p>
  </w:footnote>
  <w:footnote w:type="continuationSeparator" w:id="0">
    <w:p w14:paraId="0EE608D6" w14:textId="77777777" w:rsidR="00EC11E1" w:rsidRDefault="00EC11E1" w:rsidP="00A34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6DC"/>
    <w:multiLevelType w:val="hybridMultilevel"/>
    <w:tmpl w:val="322E937A"/>
    <w:lvl w:ilvl="0" w:tplc="040C0001">
      <w:start w:val="1"/>
      <w:numFmt w:val="bullet"/>
      <w:lvlText w:val=""/>
      <w:lvlJc w:val="left"/>
      <w:pPr>
        <w:ind w:left="360" w:hanging="360"/>
      </w:pPr>
      <w:rPr>
        <w:rFonts w:ascii="Symbol" w:hAnsi="Symbol" w:hint="default"/>
      </w:rPr>
    </w:lvl>
    <w:lvl w:ilvl="1" w:tplc="040C0005">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9286B1A"/>
    <w:multiLevelType w:val="hybridMultilevel"/>
    <w:tmpl w:val="380A60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EF754A9"/>
    <w:multiLevelType w:val="hybridMultilevel"/>
    <w:tmpl w:val="551C6E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5D58E0"/>
    <w:multiLevelType w:val="hybridMultilevel"/>
    <w:tmpl w:val="12E09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784F75"/>
    <w:multiLevelType w:val="hybridMultilevel"/>
    <w:tmpl w:val="0576F8F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364820FE"/>
    <w:multiLevelType w:val="hybridMultilevel"/>
    <w:tmpl w:val="30EAE8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AD255F2"/>
    <w:multiLevelType w:val="hybridMultilevel"/>
    <w:tmpl w:val="0202851E"/>
    <w:lvl w:ilvl="0" w:tplc="420EA93E">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655EA9"/>
    <w:multiLevelType w:val="multilevel"/>
    <w:tmpl w:val="4488680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A47DC9"/>
    <w:multiLevelType w:val="hybridMultilevel"/>
    <w:tmpl w:val="F3C0D7CE"/>
    <w:lvl w:ilvl="0" w:tplc="040C0001">
      <w:start w:val="1"/>
      <w:numFmt w:val="bullet"/>
      <w:lvlText w:val=""/>
      <w:lvlJc w:val="left"/>
      <w:pPr>
        <w:ind w:left="360" w:hanging="360"/>
      </w:pPr>
      <w:rPr>
        <w:rFonts w:ascii="Symbol" w:hAnsi="Symbol" w:hint="default"/>
      </w:rPr>
    </w:lvl>
    <w:lvl w:ilvl="1" w:tplc="040C0005">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140C5D42">
      <w:numFmt w:val="bullet"/>
      <w:lvlText w:val="-"/>
      <w:lvlJc w:val="left"/>
      <w:pPr>
        <w:ind w:left="2520" w:hanging="360"/>
      </w:pPr>
      <w:rPr>
        <w:rFonts w:ascii="Calibri" w:eastAsiaTheme="minorHAnsi" w:hAnsi="Calibri" w:cstheme="minorBidi" w:hint="default"/>
      </w:rPr>
    </w:lvl>
    <w:lvl w:ilvl="4" w:tplc="7AF8FCDA">
      <w:start w:val="12"/>
      <w:numFmt w:val="bullet"/>
      <w:lvlText w:val=""/>
      <w:lvlJc w:val="left"/>
      <w:pPr>
        <w:ind w:left="3240" w:hanging="360"/>
      </w:pPr>
      <w:rPr>
        <w:rFonts w:ascii="Wingdings" w:eastAsiaTheme="minorHAnsi" w:hAnsi="Wingdings" w:cstheme="minorBidi"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ADD07D0"/>
    <w:multiLevelType w:val="hybridMultilevel"/>
    <w:tmpl w:val="CAC45E4A"/>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5EBE6EE9"/>
    <w:multiLevelType w:val="hybridMultilevel"/>
    <w:tmpl w:val="5BC06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A1B6A6D"/>
    <w:multiLevelType w:val="hybridMultilevel"/>
    <w:tmpl w:val="D242ECC4"/>
    <w:lvl w:ilvl="0" w:tplc="BCDE0470">
      <w:start w:val="1"/>
      <w:numFmt w:val="upperRoman"/>
      <w:lvlText w:val="%1."/>
      <w:lvlJc w:val="right"/>
      <w:pPr>
        <w:ind w:left="720" w:hanging="360"/>
      </w:pPr>
      <w:rPr>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29F0458"/>
    <w:multiLevelType w:val="hybridMultilevel"/>
    <w:tmpl w:val="B2DC1F9A"/>
    <w:lvl w:ilvl="0" w:tplc="040C000B">
      <w:start w:val="1"/>
      <w:numFmt w:val="bullet"/>
      <w:lvlText w:val=""/>
      <w:lvlJc w:val="left"/>
      <w:pPr>
        <w:ind w:left="2309" w:hanging="360"/>
      </w:pPr>
      <w:rPr>
        <w:rFonts w:ascii="Wingdings" w:hAnsi="Wingdings" w:hint="default"/>
      </w:rPr>
    </w:lvl>
    <w:lvl w:ilvl="1" w:tplc="040C0003" w:tentative="1">
      <w:start w:val="1"/>
      <w:numFmt w:val="bullet"/>
      <w:lvlText w:val="o"/>
      <w:lvlJc w:val="left"/>
      <w:pPr>
        <w:ind w:left="3029" w:hanging="360"/>
      </w:pPr>
      <w:rPr>
        <w:rFonts w:ascii="Courier New" w:hAnsi="Courier New" w:cs="Courier New" w:hint="default"/>
      </w:rPr>
    </w:lvl>
    <w:lvl w:ilvl="2" w:tplc="040C0005" w:tentative="1">
      <w:start w:val="1"/>
      <w:numFmt w:val="bullet"/>
      <w:lvlText w:val=""/>
      <w:lvlJc w:val="left"/>
      <w:pPr>
        <w:ind w:left="3749" w:hanging="360"/>
      </w:pPr>
      <w:rPr>
        <w:rFonts w:ascii="Wingdings" w:hAnsi="Wingdings" w:hint="default"/>
      </w:rPr>
    </w:lvl>
    <w:lvl w:ilvl="3" w:tplc="040C0001" w:tentative="1">
      <w:start w:val="1"/>
      <w:numFmt w:val="bullet"/>
      <w:lvlText w:val=""/>
      <w:lvlJc w:val="left"/>
      <w:pPr>
        <w:ind w:left="4469" w:hanging="360"/>
      </w:pPr>
      <w:rPr>
        <w:rFonts w:ascii="Symbol" w:hAnsi="Symbol" w:hint="default"/>
      </w:rPr>
    </w:lvl>
    <w:lvl w:ilvl="4" w:tplc="040C0003" w:tentative="1">
      <w:start w:val="1"/>
      <w:numFmt w:val="bullet"/>
      <w:lvlText w:val="o"/>
      <w:lvlJc w:val="left"/>
      <w:pPr>
        <w:ind w:left="5189" w:hanging="360"/>
      </w:pPr>
      <w:rPr>
        <w:rFonts w:ascii="Courier New" w:hAnsi="Courier New" w:cs="Courier New" w:hint="default"/>
      </w:rPr>
    </w:lvl>
    <w:lvl w:ilvl="5" w:tplc="040C0005" w:tentative="1">
      <w:start w:val="1"/>
      <w:numFmt w:val="bullet"/>
      <w:lvlText w:val=""/>
      <w:lvlJc w:val="left"/>
      <w:pPr>
        <w:ind w:left="5909" w:hanging="360"/>
      </w:pPr>
      <w:rPr>
        <w:rFonts w:ascii="Wingdings" w:hAnsi="Wingdings" w:hint="default"/>
      </w:rPr>
    </w:lvl>
    <w:lvl w:ilvl="6" w:tplc="040C0001" w:tentative="1">
      <w:start w:val="1"/>
      <w:numFmt w:val="bullet"/>
      <w:lvlText w:val=""/>
      <w:lvlJc w:val="left"/>
      <w:pPr>
        <w:ind w:left="6629" w:hanging="360"/>
      </w:pPr>
      <w:rPr>
        <w:rFonts w:ascii="Symbol" w:hAnsi="Symbol" w:hint="default"/>
      </w:rPr>
    </w:lvl>
    <w:lvl w:ilvl="7" w:tplc="040C0003" w:tentative="1">
      <w:start w:val="1"/>
      <w:numFmt w:val="bullet"/>
      <w:lvlText w:val="o"/>
      <w:lvlJc w:val="left"/>
      <w:pPr>
        <w:ind w:left="7349" w:hanging="360"/>
      </w:pPr>
      <w:rPr>
        <w:rFonts w:ascii="Courier New" w:hAnsi="Courier New" w:cs="Courier New" w:hint="default"/>
      </w:rPr>
    </w:lvl>
    <w:lvl w:ilvl="8" w:tplc="040C0005" w:tentative="1">
      <w:start w:val="1"/>
      <w:numFmt w:val="bullet"/>
      <w:lvlText w:val=""/>
      <w:lvlJc w:val="left"/>
      <w:pPr>
        <w:ind w:left="8069" w:hanging="360"/>
      </w:pPr>
      <w:rPr>
        <w:rFonts w:ascii="Wingdings" w:hAnsi="Wingdings" w:hint="default"/>
      </w:rPr>
    </w:lvl>
  </w:abstractNum>
  <w:abstractNum w:abstractNumId="13">
    <w:nsid w:val="772931D9"/>
    <w:multiLevelType w:val="hybridMultilevel"/>
    <w:tmpl w:val="225C8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
  </w:num>
  <w:num w:numId="4">
    <w:abstractNumId w:val="10"/>
  </w:num>
  <w:num w:numId="5">
    <w:abstractNumId w:val="1"/>
  </w:num>
  <w:num w:numId="6">
    <w:abstractNumId w:val="5"/>
  </w:num>
  <w:num w:numId="7">
    <w:abstractNumId w:val="3"/>
  </w:num>
  <w:num w:numId="8">
    <w:abstractNumId w:val="12"/>
  </w:num>
  <w:num w:numId="9">
    <w:abstractNumId w:val="4"/>
  </w:num>
  <w:num w:numId="10">
    <w:abstractNumId w:val="0"/>
  </w:num>
  <w:num w:numId="11">
    <w:abstractNumId w:val="8"/>
  </w:num>
  <w:num w:numId="12">
    <w:abstractNumId w:val="7"/>
  </w:num>
  <w:num w:numId="13">
    <w:abstractNumId w:val="13"/>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D6C"/>
    <w:rsid w:val="00002A8C"/>
    <w:rsid w:val="000047EF"/>
    <w:rsid w:val="00005CD1"/>
    <w:rsid w:val="000226F7"/>
    <w:rsid w:val="00024262"/>
    <w:rsid w:val="00025B9E"/>
    <w:rsid w:val="00027AF9"/>
    <w:rsid w:val="0003028D"/>
    <w:rsid w:val="0004047F"/>
    <w:rsid w:val="00040F7C"/>
    <w:rsid w:val="00054D6C"/>
    <w:rsid w:val="00061D05"/>
    <w:rsid w:val="00067BAA"/>
    <w:rsid w:val="00071A6D"/>
    <w:rsid w:val="00077450"/>
    <w:rsid w:val="000858A1"/>
    <w:rsid w:val="000943FC"/>
    <w:rsid w:val="00095C5E"/>
    <w:rsid w:val="000A1F0F"/>
    <w:rsid w:val="000A4794"/>
    <w:rsid w:val="000A6E37"/>
    <w:rsid w:val="000C06C6"/>
    <w:rsid w:val="000C51FD"/>
    <w:rsid w:val="000C7168"/>
    <w:rsid w:val="000D34FA"/>
    <w:rsid w:val="000D497C"/>
    <w:rsid w:val="000D7FAC"/>
    <w:rsid w:val="000E63EC"/>
    <w:rsid w:val="00103E71"/>
    <w:rsid w:val="0011049B"/>
    <w:rsid w:val="001144CB"/>
    <w:rsid w:val="00116C12"/>
    <w:rsid w:val="0012547C"/>
    <w:rsid w:val="001255D7"/>
    <w:rsid w:val="00125789"/>
    <w:rsid w:val="00125922"/>
    <w:rsid w:val="001300AF"/>
    <w:rsid w:val="00131963"/>
    <w:rsid w:val="001440CF"/>
    <w:rsid w:val="001450FE"/>
    <w:rsid w:val="00152F59"/>
    <w:rsid w:val="00155C1D"/>
    <w:rsid w:val="00162AEE"/>
    <w:rsid w:val="001655EE"/>
    <w:rsid w:val="00165670"/>
    <w:rsid w:val="00166119"/>
    <w:rsid w:val="00167321"/>
    <w:rsid w:val="00173C7D"/>
    <w:rsid w:val="0018107E"/>
    <w:rsid w:val="0019364E"/>
    <w:rsid w:val="001A7534"/>
    <w:rsid w:val="001B0980"/>
    <w:rsid w:val="001B0F7E"/>
    <w:rsid w:val="001C516C"/>
    <w:rsid w:val="001D7AC5"/>
    <w:rsid w:val="001E0D73"/>
    <w:rsid w:val="00205438"/>
    <w:rsid w:val="002211CE"/>
    <w:rsid w:val="002215A3"/>
    <w:rsid w:val="002215E9"/>
    <w:rsid w:val="0022354F"/>
    <w:rsid w:val="002326C2"/>
    <w:rsid w:val="002363A3"/>
    <w:rsid w:val="002367BD"/>
    <w:rsid w:val="00240122"/>
    <w:rsid w:val="002404A6"/>
    <w:rsid w:val="00240D04"/>
    <w:rsid w:val="00242A37"/>
    <w:rsid w:val="00247C7B"/>
    <w:rsid w:val="00263E76"/>
    <w:rsid w:val="0026749F"/>
    <w:rsid w:val="00281C02"/>
    <w:rsid w:val="00283307"/>
    <w:rsid w:val="00283EA0"/>
    <w:rsid w:val="002A0E19"/>
    <w:rsid w:val="002A104D"/>
    <w:rsid w:val="002A5974"/>
    <w:rsid w:val="002C1E35"/>
    <w:rsid w:val="002D2696"/>
    <w:rsid w:val="002D6342"/>
    <w:rsid w:val="002E64A7"/>
    <w:rsid w:val="002E6CFF"/>
    <w:rsid w:val="002F0E1B"/>
    <w:rsid w:val="002F4D1F"/>
    <w:rsid w:val="0035055E"/>
    <w:rsid w:val="00351005"/>
    <w:rsid w:val="0035129A"/>
    <w:rsid w:val="003537A3"/>
    <w:rsid w:val="00357041"/>
    <w:rsid w:val="0038147B"/>
    <w:rsid w:val="00382AD0"/>
    <w:rsid w:val="00391D0E"/>
    <w:rsid w:val="00395FF3"/>
    <w:rsid w:val="00396D4A"/>
    <w:rsid w:val="003A003A"/>
    <w:rsid w:val="003A2674"/>
    <w:rsid w:val="003A3A4E"/>
    <w:rsid w:val="003A68A9"/>
    <w:rsid w:val="003B677E"/>
    <w:rsid w:val="003C1F3E"/>
    <w:rsid w:val="003C2F17"/>
    <w:rsid w:val="003E1384"/>
    <w:rsid w:val="003E1A98"/>
    <w:rsid w:val="003E4813"/>
    <w:rsid w:val="003E6613"/>
    <w:rsid w:val="00421B9D"/>
    <w:rsid w:val="004357A3"/>
    <w:rsid w:val="004447FF"/>
    <w:rsid w:val="004452E1"/>
    <w:rsid w:val="00464D46"/>
    <w:rsid w:val="00465258"/>
    <w:rsid w:val="00465366"/>
    <w:rsid w:val="00467131"/>
    <w:rsid w:val="004710A4"/>
    <w:rsid w:val="00475654"/>
    <w:rsid w:val="00475D86"/>
    <w:rsid w:val="004841D2"/>
    <w:rsid w:val="00495FBD"/>
    <w:rsid w:val="004A05C5"/>
    <w:rsid w:val="004A3EA5"/>
    <w:rsid w:val="004B6C0A"/>
    <w:rsid w:val="004D753D"/>
    <w:rsid w:val="004E2DBB"/>
    <w:rsid w:val="004E4A50"/>
    <w:rsid w:val="004F2FB3"/>
    <w:rsid w:val="00500B8A"/>
    <w:rsid w:val="00503595"/>
    <w:rsid w:val="0050419D"/>
    <w:rsid w:val="00505727"/>
    <w:rsid w:val="00515240"/>
    <w:rsid w:val="005310C9"/>
    <w:rsid w:val="00543AA7"/>
    <w:rsid w:val="00544845"/>
    <w:rsid w:val="005468D0"/>
    <w:rsid w:val="00550B0D"/>
    <w:rsid w:val="00553853"/>
    <w:rsid w:val="005630C2"/>
    <w:rsid w:val="00564E59"/>
    <w:rsid w:val="005700A2"/>
    <w:rsid w:val="00573CC1"/>
    <w:rsid w:val="00596DF6"/>
    <w:rsid w:val="005A2425"/>
    <w:rsid w:val="005A66EA"/>
    <w:rsid w:val="005B5A69"/>
    <w:rsid w:val="005B6D40"/>
    <w:rsid w:val="005B6E1A"/>
    <w:rsid w:val="005C2763"/>
    <w:rsid w:val="005D2380"/>
    <w:rsid w:val="005D4DE3"/>
    <w:rsid w:val="006007C8"/>
    <w:rsid w:val="00600C6E"/>
    <w:rsid w:val="00600DEB"/>
    <w:rsid w:val="006040ED"/>
    <w:rsid w:val="006152AE"/>
    <w:rsid w:val="0061675C"/>
    <w:rsid w:val="00617CAF"/>
    <w:rsid w:val="006259DA"/>
    <w:rsid w:val="00625D02"/>
    <w:rsid w:val="006305A0"/>
    <w:rsid w:val="00634169"/>
    <w:rsid w:val="00634FF6"/>
    <w:rsid w:val="006362AE"/>
    <w:rsid w:val="006372D4"/>
    <w:rsid w:val="006462F0"/>
    <w:rsid w:val="006507C7"/>
    <w:rsid w:val="00650FA8"/>
    <w:rsid w:val="00663F4E"/>
    <w:rsid w:val="00673DEC"/>
    <w:rsid w:val="006766E2"/>
    <w:rsid w:val="00680D61"/>
    <w:rsid w:val="0068172D"/>
    <w:rsid w:val="00685475"/>
    <w:rsid w:val="00687B8C"/>
    <w:rsid w:val="006926B5"/>
    <w:rsid w:val="00695AE5"/>
    <w:rsid w:val="00695DF9"/>
    <w:rsid w:val="0069790D"/>
    <w:rsid w:val="006A755E"/>
    <w:rsid w:val="006B4767"/>
    <w:rsid w:val="006C132C"/>
    <w:rsid w:val="006C1C49"/>
    <w:rsid w:val="006E4222"/>
    <w:rsid w:val="006F0206"/>
    <w:rsid w:val="00707220"/>
    <w:rsid w:val="00712842"/>
    <w:rsid w:val="00713EF8"/>
    <w:rsid w:val="00715847"/>
    <w:rsid w:val="00716471"/>
    <w:rsid w:val="007179EA"/>
    <w:rsid w:val="0073017C"/>
    <w:rsid w:val="00735CEE"/>
    <w:rsid w:val="00736DD7"/>
    <w:rsid w:val="00742402"/>
    <w:rsid w:val="00746C35"/>
    <w:rsid w:val="00750A4A"/>
    <w:rsid w:val="00755267"/>
    <w:rsid w:val="00762ADB"/>
    <w:rsid w:val="007855B7"/>
    <w:rsid w:val="0079137A"/>
    <w:rsid w:val="007A028E"/>
    <w:rsid w:val="007A1F43"/>
    <w:rsid w:val="007B4D83"/>
    <w:rsid w:val="007B5359"/>
    <w:rsid w:val="007B5391"/>
    <w:rsid w:val="007B76CF"/>
    <w:rsid w:val="007C7EFE"/>
    <w:rsid w:val="007D324A"/>
    <w:rsid w:val="007D37A7"/>
    <w:rsid w:val="007D639B"/>
    <w:rsid w:val="0080749C"/>
    <w:rsid w:val="00807E12"/>
    <w:rsid w:val="0081282D"/>
    <w:rsid w:val="00827DFB"/>
    <w:rsid w:val="0083228F"/>
    <w:rsid w:val="008346DF"/>
    <w:rsid w:val="008407F4"/>
    <w:rsid w:val="00840DCB"/>
    <w:rsid w:val="00847562"/>
    <w:rsid w:val="00856D62"/>
    <w:rsid w:val="008575FF"/>
    <w:rsid w:val="008606C7"/>
    <w:rsid w:val="0087006C"/>
    <w:rsid w:val="00877555"/>
    <w:rsid w:val="0088074E"/>
    <w:rsid w:val="00880CEF"/>
    <w:rsid w:val="00882E4F"/>
    <w:rsid w:val="00883723"/>
    <w:rsid w:val="00883DC0"/>
    <w:rsid w:val="00887832"/>
    <w:rsid w:val="00892BFA"/>
    <w:rsid w:val="00893CCA"/>
    <w:rsid w:val="008B73F0"/>
    <w:rsid w:val="008C0D04"/>
    <w:rsid w:val="008C2621"/>
    <w:rsid w:val="008C5071"/>
    <w:rsid w:val="008C640A"/>
    <w:rsid w:val="008D02A6"/>
    <w:rsid w:val="008D146C"/>
    <w:rsid w:val="008F0D86"/>
    <w:rsid w:val="008F7EF9"/>
    <w:rsid w:val="00913718"/>
    <w:rsid w:val="009164CE"/>
    <w:rsid w:val="00935BA8"/>
    <w:rsid w:val="009476B9"/>
    <w:rsid w:val="00951C4B"/>
    <w:rsid w:val="00954D4E"/>
    <w:rsid w:val="00966EE5"/>
    <w:rsid w:val="0098050C"/>
    <w:rsid w:val="0098065F"/>
    <w:rsid w:val="00981A8B"/>
    <w:rsid w:val="00986BC6"/>
    <w:rsid w:val="00992864"/>
    <w:rsid w:val="0099376D"/>
    <w:rsid w:val="009959B4"/>
    <w:rsid w:val="009A21A7"/>
    <w:rsid w:val="009A4004"/>
    <w:rsid w:val="009B1A95"/>
    <w:rsid w:val="009C58DD"/>
    <w:rsid w:val="009C6644"/>
    <w:rsid w:val="009D7E21"/>
    <w:rsid w:val="009E2C36"/>
    <w:rsid w:val="009F370B"/>
    <w:rsid w:val="009F3F7D"/>
    <w:rsid w:val="00A04144"/>
    <w:rsid w:val="00A146B5"/>
    <w:rsid w:val="00A15007"/>
    <w:rsid w:val="00A15888"/>
    <w:rsid w:val="00A31A47"/>
    <w:rsid w:val="00A32778"/>
    <w:rsid w:val="00A34CEC"/>
    <w:rsid w:val="00A37727"/>
    <w:rsid w:val="00A4257F"/>
    <w:rsid w:val="00A510E7"/>
    <w:rsid w:val="00A57AD3"/>
    <w:rsid w:val="00A643DD"/>
    <w:rsid w:val="00A67E28"/>
    <w:rsid w:val="00A7127C"/>
    <w:rsid w:val="00A7600F"/>
    <w:rsid w:val="00A93F0B"/>
    <w:rsid w:val="00A97BCD"/>
    <w:rsid w:val="00AA2A8C"/>
    <w:rsid w:val="00AC213D"/>
    <w:rsid w:val="00AC248F"/>
    <w:rsid w:val="00AC5C63"/>
    <w:rsid w:val="00AD0248"/>
    <w:rsid w:val="00AD0923"/>
    <w:rsid w:val="00AD34CD"/>
    <w:rsid w:val="00AE00FD"/>
    <w:rsid w:val="00AE37D3"/>
    <w:rsid w:val="00AF0253"/>
    <w:rsid w:val="00AF0FCB"/>
    <w:rsid w:val="00AF384A"/>
    <w:rsid w:val="00B15F97"/>
    <w:rsid w:val="00B173D5"/>
    <w:rsid w:val="00B22F51"/>
    <w:rsid w:val="00B23729"/>
    <w:rsid w:val="00B36455"/>
    <w:rsid w:val="00B5416A"/>
    <w:rsid w:val="00B5516C"/>
    <w:rsid w:val="00B55E9C"/>
    <w:rsid w:val="00B61DAE"/>
    <w:rsid w:val="00B66888"/>
    <w:rsid w:val="00B66A1C"/>
    <w:rsid w:val="00B67BB0"/>
    <w:rsid w:val="00B67DC5"/>
    <w:rsid w:val="00B74973"/>
    <w:rsid w:val="00B85CB3"/>
    <w:rsid w:val="00BA07FD"/>
    <w:rsid w:val="00BA0A9E"/>
    <w:rsid w:val="00BA5952"/>
    <w:rsid w:val="00BB2960"/>
    <w:rsid w:val="00BB40C4"/>
    <w:rsid w:val="00BC0E90"/>
    <w:rsid w:val="00BC3B44"/>
    <w:rsid w:val="00BD23E1"/>
    <w:rsid w:val="00BD3F17"/>
    <w:rsid w:val="00BE11C2"/>
    <w:rsid w:val="00BE5CA5"/>
    <w:rsid w:val="00BF45D0"/>
    <w:rsid w:val="00BF623A"/>
    <w:rsid w:val="00BF7FA6"/>
    <w:rsid w:val="00C051D2"/>
    <w:rsid w:val="00C05F95"/>
    <w:rsid w:val="00C175B2"/>
    <w:rsid w:val="00C25653"/>
    <w:rsid w:val="00C37968"/>
    <w:rsid w:val="00C43630"/>
    <w:rsid w:val="00C55008"/>
    <w:rsid w:val="00C5772A"/>
    <w:rsid w:val="00C57928"/>
    <w:rsid w:val="00C65787"/>
    <w:rsid w:val="00C66D82"/>
    <w:rsid w:val="00C7163F"/>
    <w:rsid w:val="00C72F86"/>
    <w:rsid w:val="00C773EC"/>
    <w:rsid w:val="00C80CC0"/>
    <w:rsid w:val="00C86A5D"/>
    <w:rsid w:val="00CA0262"/>
    <w:rsid w:val="00CC1E7C"/>
    <w:rsid w:val="00CC5C09"/>
    <w:rsid w:val="00CC6190"/>
    <w:rsid w:val="00CD5515"/>
    <w:rsid w:val="00CD7627"/>
    <w:rsid w:val="00CE310D"/>
    <w:rsid w:val="00CE6791"/>
    <w:rsid w:val="00CF108C"/>
    <w:rsid w:val="00D021A3"/>
    <w:rsid w:val="00D03974"/>
    <w:rsid w:val="00D05D7B"/>
    <w:rsid w:val="00D063D6"/>
    <w:rsid w:val="00D15644"/>
    <w:rsid w:val="00D15743"/>
    <w:rsid w:val="00D202B7"/>
    <w:rsid w:val="00D338F3"/>
    <w:rsid w:val="00D47FE2"/>
    <w:rsid w:val="00D51B1E"/>
    <w:rsid w:val="00D521C1"/>
    <w:rsid w:val="00D566B9"/>
    <w:rsid w:val="00D6674E"/>
    <w:rsid w:val="00D84FFE"/>
    <w:rsid w:val="00D85796"/>
    <w:rsid w:val="00D9364B"/>
    <w:rsid w:val="00DA1CFD"/>
    <w:rsid w:val="00DB22BD"/>
    <w:rsid w:val="00DB5930"/>
    <w:rsid w:val="00DB67E9"/>
    <w:rsid w:val="00DC3126"/>
    <w:rsid w:val="00DD34F9"/>
    <w:rsid w:val="00DD7785"/>
    <w:rsid w:val="00DE0E3D"/>
    <w:rsid w:val="00DE583E"/>
    <w:rsid w:val="00DE7725"/>
    <w:rsid w:val="00E010C8"/>
    <w:rsid w:val="00E16063"/>
    <w:rsid w:val="00E27CF0"/>
    <w:rsid w:val="00E3726A"/>
    <w:rsid w:val="00E41176"/>
    <w:rsid w:val="00E4657E"/>
    <w:rsid w:val="00E50398"/>
    <w:rsid w:val="00E57574"/>
    <w:rsid w:val="00E57DD5"/>
    <w:rsid w:val="00E61256"/>
    <w:rsid w:val="00E63B9D"/>
    <w:rsid w:val="00E643FC"/>
    <w:rsid w:val="00E66D7E"/>
    <w:rsid w:val="00E678F1"/>
    <w:rsid w:val="00E7049B"/>
    <w:rsid w:val="00E726BF"/>
    <w:rsid w:val="00E82CB0"/>
    <w:rsid w:val="00E84147"/>
    <w:rsid w:val="00E851B5"/>
    <w:rsid w:val="00E948F7"/>
    <w:rsid w:val="00E97119"/>
    <w:rsid w:val="00E973EA"/>
    <w:rsid w:val="00EA12AA"/>
    <w:rsid w:val="00EA459D"/>
    <w:rsid w:val="00EA4DAD"/>
    <w:rsid w:val="00EA4DB3"/>
    <w:rsid w:val="00EA75CD"/>
    <w:rsid w:val="00EB1227"/>
    <w:rsid w:val="00EB3128"/>
    <w:rsid w:val="00EC11E1"/>
    <w:rsid w:val="00EC2FD4"/>
    <w:rsid w:val="00EC6FF2"/>
    <w:rsid w:val="00EE181B"/>
    <w:rsid w:val="00EF2C54"/>
    <w:rsid w:val="00EF5892"/>
    <w:rsid w:val="00F01E59"/>
    <w:rsid w:val="00F02F16"/>
    <w:rsid w:val="00F04F4E"/>
    <w:rsid w:val="00F0566C"/>
    <w:rsid w:val="00F10637"/>
    <w:rsid w:val="00F12728"/>
    <w:rsid w:val="00F163B1"/>
    <w:rsid w:val="00F3326E"/>
    <w:rsid w:val="00F405A2"/>
    <w:rsid w:val="00F54093"/>
    <w:rsid w:val="00F54A30"/>
    <w:rsid w:val="00F56227"/>
    <w:rsid w:val="00F66C69"/>
    <w:rsid w:val="00F872A9"/>
    <w:rsid w:val="00F97BE4"/>
    <w:rsid w:val="00FA0EFC"/>
    <w:rsid w:val="00FA501D"/>
    <w:rsid w:val="00FB1A36"/>
    <w:rsid w:val="00FB63C3"/>
    <w:rsid w:val="00FC12E5"/>
    <w:rsid w:val="00FC5D25"/>
    <w:rsid w:val="00FE186B"/>
    <w:rsid w:val="00FE555D"/>
    <w:rsid w:val="00FE7444"/>
    <w:rsid w:val="00FF5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E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A5"/>
  </w:style>
  <w:style w:type="paragraph" w:styleId="Titre1">
    <w:name w:val="heading 1"/>
    <w:basedOn w:val="Normal"/>
    <w:next w:val="Normal"/>
    <w:link w:val="Titre1Car"/>
    <w:uiPriority w:val="9"/>
    <w:qFormat/>
    <w:rsid w:val="004A3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E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3EA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A3EA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A3EA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A3E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A3E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A3EA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4A3E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3EA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A3EA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3EA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A3EA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A3EA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A3EA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A3EA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A3EA5"/>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4A3EA5"/>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4A3EA5"/>
    <w:pPr>
      <w:spacing w:line="240" w:lineRule="auto"/>
    </w:pPr>
    <w:rPr>
      <w:b/>
      <w:bCs/>
      <w:color w:val="4F81BD" w:themeColor="accent1"/>
      <w:sz w:val="18"/>
      <w:szCs w:val="18"/>
    </w:rPr>
  </w:style>
  <w:style w:type="paragraph" w:styleId="Titre">
    <w:name w:val="Title"/>
    <w:basedOn w:val="Normal"/>
    <w:next w:val="Normal"/>
    <w:link w:val="TitreCar"/>
    <w:uiPriority w:val="10"/>
    <w:qFormat/>
    <w:rsid w:val="004A3E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A3EA5"/>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4A3E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A3EA5"/>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4A3EA5"/>
    <w:rPr>
      <w:b/>
      <w:bCs/>
    </w:rPr>
  </w:style>
  <w:style w:type="character" w:styleId="Accentuation">
    <w:name w:val="Emphasis"/>
    <w:basedOn w:val="Policepardfaut"/>
    <w:uiPriority w:val="20"/>
    <w:qFormat/>
    <w:rsid w:val="004A3EA5"/>
    <w:rPr>
      <w:i/>
      <w:iCs/>
    </w:rPr>
  </w:style>
  <w:style w:type="paragraph" w:styleId="Sansinterligne">
    <w:name w:val="No Spacing"/>
    <w:link w:val="SansinterligneCar"/>
    <w:uiPriority w:val="1"/>
    <w:qFormat/>
    <w:rsid w:val="004A3EA5"/>
    <w:pPr>
      <w:spacing w:after="0" w:line="240" w:lineRule="auto"/>
    </w:pPr>
  </w:style>
  <w:style w:type="character" w:customStyle="1" w:styleId="SansinterligneCar">
    <w:name w:val="Sans interligne Car"/>
    <w:basedOn w:val="Policepardfaut"/>
    <w:link w:val="Sansinterligne"/>
    <w:uiPriority w:val="1"/>
    <w:rsid w:val="004A3EA5"/>
  </w:style>
  <w:style w:type="paragraph" w:styleId="Paragraphedeliste">
    <w:name w:val="List Paragraph"/>
    <w:basedOn w:val="Normal"/>
    <w:uiPriority w:val="34"/>
    <w:qFormat/>
    <w:rsid w:val="004A3EA5"/>
    <w:pPr>
      <w:ind w:left="720"/>
      <w:contextualSpacing/>
    </w:pPr>
  </w:style>
  <w:style w:type="paragraph" w:styleId="Citation">
    <w:name w:val="Quote"/>
    <w:basedOn w:val="Normal"/>
    <w:next w:val="Normal"/>
    <w:link w:val="CitationCar"/>
    <w:uiPriority w:val="29"/>
    <w:qFormat/>
    <w:rsid w:val="004A3EA5"/>
    <w:rPr>
      <w:i/>
      <w:iCs/>
      <w:color w:val="000000" w:themeColor="text1"/>
    </w:rPr>
  </w:style>
  <w:style w:type="character" w:customStyle="1" w:styleId="CitationCar">
    <w:name w:val="Citation Car"/>
    <w:basedOn w:val="Policepardfaut"/>
    <w:link w:val="Citation"/>
    <w:uiPriority w:val="29"/>
    <w:rsid w:val="004A3EA5"/>
    <w:rPr>
      <w:i/>
      <w:iCs/>
      <w:color w:val="000000" w:themeColor="text1"/>
    </w:rPr>
  </w:style>
  <w:style w:type="paragraph" w:styleId="Citationintense">
    <w:name w:val="Intense Quote"/>
    <w:basedOn w:val="Normal"/>
    <w:next w:val="Normal"/>
    <w:link w:val="CitationintenseCar"/>
    <w:uiPriority w:val="30"/>
    <w:qFormat/>
    <w:rsid w:val="004A3EA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A3EA5"/>
    <w:rPr>
      <w:b/>
      <w:bCs/>
      <w:i/>
      <w:iCs/>
      <w:color w:val="4F81BD" w:themeColor="accent1"/>
    </w:rPr>
  </w:style>
  <w:style w:type="character" w:styleId="Emphaseple">
    <w:name w:val="Subtle Emphasis"/>
    <w:basedOn w:val="Policepardfaut"/>
    <w:uiPriority w:val="19"/>
    <w:qFormat/>
    <w:rsid w:val="004A3EA5"/>
    <w:rPr>
      <w:i/>
      <w:iCs/>
      <w:color w:val="808080" w:themeColor="text1" w:themeTint="7F"/>
    </w:rPr>
  </w:style>
  <w:style w:type="character" w:styleId="Emphaseintense">
    <w:name w:val="Intense Emphasis"/>
    <w:basedOn w:val="Policepardfaut"/>
    <w:uiPriority w:val="21"/>
    <w:qFormat/>
    <w:rsid w:val="004A3EA5"/>
    <w:rPr>
      <w:b/>
      <w:bCs/>
      <w:i/>
      <w:iCs/>
      <w:color w:val="4F81BD" w:themeColor="accent1"/>
    </w:rPr>
  </w:style>
  <w:style w:type="character" w:styleId="Rfrenceple">
    <w:name w:val="Subtle Reference"/>
    <w:basedOn w:val="Policepardfaut"/>
    <w:uiPriority w:val="31"/>
    <w:qFormat/>
    <w:rsid w:val="004A3EA5"/>
    <w:rPr>
      <w:smallCaps/>
      <w:color w:val="C0504D" w:themeColor="accent2"/>
      <w:u w:val="single"/>
    </w:rPr>
  </w:style>
  <w:style w:type="character" w:styleId="Rfrenceintense">
    <w:name w:val="Intense Reference"/>
    <w:basedOn w:val="Policepardfaut"/>
    <w:uiPriority w:val="32"/>
    <w:qFormat/>
    <w:rsid w:val="004A3EA5"/>
    <w:rPr>
      <w:b/>
      <w:bCs/>
      <w:smallCaps/>
      <w:color w:val="C0504D" w:themeColor="accent2"/>
      <w:spacing w:val="5"/>
      <w:u w:val="single"/>
    </w:rPr>
  </w:style>
  <w:style w:type="character" w:styleId="Titredulivre">
    <w:name w:val="Book Title"/>
    <w:basedOn w:val="Policepardfaut"/>
    <w:uiPriority w:val="33"/>
    <w:qFormat/>
    <w:rsid w:val="004A3EA5"/>
    <w:rPr>
      <w:b/>
      <w:bCs/>
      <w:smallCaps/>
      <w:spacing w:val="5"/>
    </w:rPr>
  </w:style>
  <w:style w:type="paragraph" w:styleId="En-ttedetabledesmatires">
    <w:name w:val="TOC Heading"/>
    <w:basedOn w:val="Titre1"/>
    <w:next w:val="Normal"/>
    <w:uiPriority w:val="39"/>
    <w:semiHidden/>
    <w:unhideWhenUsed/>
    <w:qFormat/>
    <w:rsid w:val="004A3EA5"/>
    <w:pPr>
      <w:outlineLvl w:val="9"/>
    </w:pPr>
  </w:style>
  <w:style w:type="paragraph" w:styleId="Textedebulles">
    <w:name w:val="Balloon Text"/>
    <w:basedOn w:val="Normal"/>
    <w:link w:val="TextedebullesCar"/>
    <w:uiPriority w:val="99"/>
    <w:semiHidden/>
    <w:unhideWhenUsed/>
    <w:rsid w:val="00054D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4D6C"/>
    <w:rPr>
      <w:rFonts w:ascii="Tahoma" w:hAnsi="Tahoma" w:cs="Tahoma"/>
      <w:sz w:val="16"/>
      <w:szCs w:val="16"/>
    </w:rPr>
  </w:style>
  <w:style w:type="table" w:styleId="Grilledutableau">
    <w:name w:val="Table Grid"/>
    <w:basedOn w:val="TableauNormal"/>
    <w:uiPriority w:val="59"/>
    <w:rsid w:val="0067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34CEC"/>
    <w:pPr>
      <w:tabs>
        <w:tab w:val="center" w:pos="4536"/>
        <w:tab w:val="right" w:pos="9072"/>
      </w:tabs>
      <w:spacing w:after="0" w:line="240" w:lineRule="auto"/>
    </w:pPr>
  </w:style>
  <w:style w:type="character" w:customStyle="1" w:styleId="En-tteCar">
    <w:name w:val="En-tête Car"/>
    <w:basedOn w:val="Policepardfaut"/>
    <w:link w:val="En-tte"/>
    <w:uiPriority w:val="99"/>
    <w:rsid w:val="00A34CEC"/>
  </w:style>
  <w:style w:type="paragraph" w:styleId="Pieddepage">
    <w:name w:val="footer"/>
    <w:basedOn w:val="Normal"/>
    <w:link w:val="PieddepageCar"/>
    <w:uiPriority w:val="99"/>
    <w:unhideWhenUsed/>
    <w:rsid w:val="00A34C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4CEC"/>
  </w:style>
  <w:style w:type="character" w:customStyle="1" w:styleId="apple-converted-space">
    <w:name w:val="apple-converted-space"/>
    <w:basedOn w:val="Policepardfaut"/>
    <w:rsid w:val="00715847"/>
  </w:style>
  <w:style w:type="character" w:styleId="Lienhypertexte">
    <w:name w:val="Hyperlink"/>
    <w:basedOn w:val="Policepardfaut"/>
    <w:uiPriority w:val="99"/>
    <w:unhideWhenUsed/>
    <w:rsid w:val="00095C5E"/>
    <w:rPr>
      <w:color w:val="0000FF" w:themeColor="hyperlink"/>
      <w:u w:val="single"/>
    </w:rPr>
  </w:style>
  <w:style w:type="paragraph" w:styleId="NormalWeb">
    <w:name w:val="Normal (Web)"/>
    <w:basedOn w:val="Normal"/>
    <w:uiPriority w:val="99"/>
    <w:semiHidden/>
    <w:unhideWhenUsed/>
    <w:rsid w:val="0046536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A5"/>
  </w:style>
  <w:style w:type="paragraph" w:styleId="Titre1">
    <w:name w:val="heading 1"/>
    <w:basedOn w:val="Normal"/>
    <w:next w:val="Normal"/>
    <w:link w:val="Titre1Car"/>
    <w:uiPriority w:val="9"/>
    <w:qFormat/>
    <w:rsid w:val="004A3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E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3EA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A3EA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A3EA5"/>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A3E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A3EA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A3EA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4A3EA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3EA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A3EA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3EA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A3EA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A3EA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A3EA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A3EA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A3EA5"/>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4A3EA5"/>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4A3EA5"/>
    <w:pPr>
      <w:spacing w:line="240" w:lineRule="auto"/>
    </w:pPr>
    <w:rPr>
      <w:b/>
      <w:bCs/>
      <w:color w:val="4F81BD" w:themeColor="accent1"/>
      <w:sz w:val="18"/>
      <w:szCs w:val="18"/>
    </w:rPr>
  </w:style>
  <w:style w:type="paragraph" w:styleId="Titre">
    <w:name w:val="Title"/>
    <w:basedOn w:val="Normal"/>
    <w:next w:val="Normal"/>
    <w:link w:val="TitreCar"/>
    <w:uiPriority w:val="10"/>
    <w:qFormat/>
    <w:rsid w:val="004A3E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A3EA5"/>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4A3E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A3EA5"/>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4A3EA5"/>
    <w:rPr>
      <w:b/>
      <w:bCs/>
    </w:rPr>
  </w:style>
  <w:style w:type="character" w:styleId="Accentuation">
    <w:name w:val="Emphasis"/>
    <w:basedOn w:val="Policepardfaut"/>
    <w:uiPriority w:val="20"/>
    <w:qFormat/>
    <w:rsid w:val="004A3EA5"/>
    <w:rPr>
      <w:i/>
      <w:iCs/>
    </w:rPr>
  </w:style>
  <w:style w:type="paragraph" w:styleId="Sansinterligne">
    <w:name w:val="No Spacing"/>
    <w:link w:val="SansinterligneCar"/>
    <w:uiPriority w:val="1"/>
    <w:qFormat/>
    <w:rsid w:val="004A3EA5"/>
    <w:pPr>
      <w:spacing w:after="0" w:line="240" w:lineRule="auto"/>
    </w:pPr>
  </w:style>
  <w:style w:type="character" w:customStyle="1" w:styleId="SansinterligneCar">
    <w:name w:val="Sans interligne Car"/>
    <w:basedOn w:val="Policepardfaut"/>
    <w:link w:val="Sansinterligne"/>
    <w:uiPriority w:val="1"/>
    <w:rsid w:val="004A3EA5"/>
  </w:style>
  <w:style w:type="paragraph" w:styleId="Paragraphedeliste">
    <w:name w:val="List Paragraph"/>
    <w:basedOn w:val="Normal"/>
    <w:uiPriority w:val="34"/>
    <w:qFormat/>
    <w:rsid w:val="004A3EA5"/>
    <w:pPr>
      <w:ind w:left="720"/>
      <w:contextualSpacing/>
    </w:pPr>
  </w:style>
  <w:style w:type="paragraph" w:styleId="Citation">
    <w:name w:val="Quote"/>
    <w:basedOn w:val="Normal"/>
    <w:next w:val="Normal"/>
    <w:link w:val="CitationCar"/>
    <w:uiPriority w:val="29"/>
    <w:qFormat/>
    <w:rsid w:val="004A3EA5"/>
    <w:rPr>
      <w:i/>
      <w:iCs/>
      <w:color w:val="000000" w:themeColor="text1"/>
    </w:rPr>
  </w:style>
  <w:style w:type="character" w:customStyle="1" w:styleId="CitationCar">
    <w:name w:val="Citation Car"/>
    <w:basedOn w:val="Policepardfaut"/>
    <w:link w:val="Citation"/>
    <w:uiPriority w:val="29"/>
    <w:rsid w:val="004A3EA5"/>
    <w:rPr>
      <w:i/>
      <w:iCs/>
      <w:color w:val="000000" w:themeColor="text1"/>
    </w:rPr>
  </w:style>
  <w:style w:type="paragraph" w:styleId="Citationintense">
    <w:name w:val="Intense Quote"/>
    <w:basedOn w:val="Normal"/>
    <w:next w:val="Normal"/>
    <w:link w:val="CitationintenseCar"/>
    <w:uiPriority w:val="30"/>
    <w:qFormat/>
    <w:rsid w:val="004A3EA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A3EA5"/>
    <w:rPr>
      <w:b/>
      <w:bCs/>
      <w:i/>
      <w:iCs/>
      <w:color w:val="4F81BD" w:themeColor="accent1"/>
    </w:rPr>
  </w:style>
  <w:style w:type="character" w:styleId="Emphaseple">
    <w:name w:val="Subtle Emphasis"/>
    <w:basedOn w:val="Policepardfaut"/>
    <w:uiPriority w:val="19"/>
    <w:qFormat/>
    <w:rsid w:val="004A3EA5"/>
    <w:rPr>
      <w:i/>
      <w:iCs/>
      <w:color w:val="808080" w:themeColor="text1" w:themeTint="7F"/>
    </w:rPr>
  </w:style>
  <w:style w:type="character" w:styleId="Emphaseintense">
    <w:name w:val="Intense Emphasis"/>
    <w:basedOn w:val="Policepardfaut"/>
    <w:uiPriority w:val="21"/>
    <w:qFormat/>
    <w:rsid w:val="004A3EA5"/>
    <w:rPr>
      <w:b/>
      <w:bCs/>
      <w:i/>
      <w:iCs/>
      <w:color w:val="4F81BD" w:themeColor="accent1"/>
    </w:rPr>
  </w:style>
  <w:style w:type="character" w:styleId="Rfrenceple">
    <w:name w:val="Subtle Reference"/>
    <w:basedOn w:val="Policepardfaut"/>
    <w:uiPriority w:val="31"/>
    <w:qFormat/>
    <w:rsid w:val="004A3EA5"/>
    <w:rPr>
      <w:smallCaps/>
      <w:color w:val="C0504D" w:themeColor="accent2"/>
      <w:u w:val="single"/>
    </w:rPr>
  </w:style>
  <w:style w:type="character" w:styleId="Rfrenceintense">
    <w:name w:val="Intense Reference"/>
    <w:basedOn w:val="Policepardfaut"/>
    <w:uiPriority w:val="32"/>
    <w:qFormat/>
    <w:rsid w:val="004A3EA5"/>
    <w:rPr>
      <w:b/>
      <w:bCs/>
      <w:smallCaps/>
      <w:color w:val="C0504D" w:themeColor="accent2"/>
      <w:spacing w:val="5"/>
      <w:u w:val="single"/>
    </w:rPr>
  </w:style>
  <w:style w:type="character" w:styleId="Titredulivre">
    <w:name w:val="Book Title"/>
    <w:basedOn w:val="Policepardfaut"/>
    <w:uiPriority w:val="33"/>
    <w:qFormat/>
    <w:rsid w:val="004A3EA5"/>
    <w:rPr>
      <w:b/>
      <w:bCs/>
      <w:smallCaps/>
      <w:spacing w:val="5"/>
    </w:rPr>
  </w:style>
  <w:style w:type="paragraph" w:styleId="En-ttedetabledesmatires">
    <w:name w:val="TOC Heading"/>
    <w:basedOn w:val="Titre1"/>
    <w:next w:val="Normal"/>
    <w:uiPriority w:val="39"/>
    <w:semiHidden/>
    <w:unhideWhenUsed/>
    <w:qFormat/>
    <w:rsid w:val="004A3EA5"/>
    <w:pPr>
      <w:outlineLvl w:val="9"/>
    </w:pPr>
  </w:style>
  <w:style w:type="paragraph" w:styleId="Textedebulles">
    <w:name w:val="Balloon Text"/>
    <w:basedOn w:val="Normal"/>
    <w:link w:val="TextedebullesCar"/>
    <w:uiPriority w:val="99"/>
    <w:semiHidden/>
    <w:unhideWhenUsed/>
    <w:rsid w:val="00054D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4D6C"/>
    <w:rPr>
      <w:rFonts w:ascii="Tahoma" w:hAnsi="Tahoma" w:cs="Tahoma"/>
      <w:sz w:val="16"/>
      <w:szCs w:val="16"/>
    </w:rPr>
  </w:style>
  <w:style w:type="table" w:styleId="Grilledutableau">
    <w:name w:val="Table Grid"/>
    <w:basedOn w:val="TableauNormal"/>
    <w:uiPriority w:val="59"/>
    <w:rsid w:val="00676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34CEC"/>
    <w:pPr>
      <w:tabs>
        <w:tab w:val="center" w:pos="4536"/>
        <w:tab w:val="right" w:pos="9072"/>
      </w:tabs>
      <w:spacing w:after="0" w:line="240" w:lineRule="auto"/>
    </w:pPr>
  </w:style>
  <w:style w:type="character" w:customStyle="1" w:styleId="En-tteCar">
    <w:name w:val="En-tête Car"/>
    <w:basedOn w:val="Policepardfaut"/>
    <w:link w:val="En-tte"/>
    <w:uiPriority w:val="99"/>
    <w:rsid w:val="00A34CEC"/>
  </w:style>
  <w:style w:type="paragraph" w:styleId="Pieddepage">
    <w:name w:val="footer"/>
    <w:basedOn w:val="Normal"/>
    <w:link w:val="PieddepageCar"/>
    <w:uiPriority w:val="99"/>
    <w:unhideWhenUsed/>
    <w:rsid w:val="00A34C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4CEC"/>
  </w:style>
  <w:style w:type="character" w:customStyle="1" w:styleId="apple-converted-space">
    <w:name w:val="apple-converted-space"/>
    <w:basedOn w:val="Policepardfaut"/>
    <w:rsid w:val="00715847"/>
  </w:style>
  <w:style w:type="character" w:styleId="Lienhypertexte">
    <w:name w:val="Hyperlink"/>
    <w:basedOn w:val="Policepardfaut"/>
    <w:uiPriority w:val="99"/>
    <w:unhideWhenUsed/>
    <w:rsid w:val="00095C5E"/>
    <w:rPr>
      <w:color w:val="0000FF" w:themeColor="hyperlink"/>
      <w:u w:val="single"/>
    </w:rPr>
  </w:style>
  <w:style w:type="paragraph" w:styleId="NormalWeb">
    <w:name w:val="Normal (Web)"/>
    <w:basedOn w:val="Normal"/>
    <w:uiPriority w:val="99"/>
    <w:semiHidden/>
    <w:unhideWhenUsed/>
    <w:rsid w:val="0046536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15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jorf/article_jo/JORFARTI00004390969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do?idArticle=LEGIARTI000006911737&amp;idSectionTA=LEGISCTA000006190990&amp;cidTexte=LEGITEXT000006072665&amp;dateTexte=2010033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egifrance.gouv.fr/affichTexte.do;jsessionid=15D589688D613DF76A9508322DCAEC54.tplgfr26s_1?cidTexte=JORFTEXT000038184922&amp;dateTexte=&amp;oldAction=rechJO&amp;categorieLien=id&amp;idJO=JORFCONT00003818465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6EEA7-F59C-4595-AB42-EAFC8B77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2819</Words>
  <Characters>15505</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SISTM</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Abraham</dc:creator>
  <cp:lastModifiedBy>Julien SCHOONHEERE</cp:lastModifiedBy>
  <cp:revision>4</cp:revision>
  <cp:lastPrinted>2021-08-19T09:22:00Z</cp:lastPrinted>
  <dcterms:created xsi:type="dcterms:W3CDTF">2022-01-28T09:31:00Z</dcterms:created>
  <dcterms:modified xsi:type="dcterms:W3CDTF">2022-01-28T10:07:00Z</dcterms:modified>
</cp:coreProperties>
</file>